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438</w:t>
      </w:r>
    </w:p>
    <w:p>
      <w:r>
        <w:t>Bundesgericht (BGE), 1953-09-08, FR</w:t>
      </w:r>
    </w:p>
    <w:p>
      <w:r>
        <w:rPr>
          <w:b/>
        </w:rPr>
        <w:t xml:space="preserve">Quelle: </w:t>
      </w:r>
      <w:r>
        <w:t>https://mcp.opencaselaw.ch/entscheid/bge_BGE_80_I_438</w:t>
      </w:r>
    </w:p>
    <w:p>
      <w:r>
        <w:t>FR: ATF 80 I 438</w:t>
      </w:r>
    </w:p>
    <w:p>
      <w:r>
        <w:t>IT: DTF 80 I 438</w:t>
      </w:r>
    </w:p>
    <w:p>
      <w:pPr>
        <w:pStyle w:val="Heading2"/>
      </w:pPr>
      <w:r>
        <w:t>Regeste</w:t>
      </w:r>
    </w:p>
    <w:p>
      <w:r>
        <w:t>Regeste Art. 4 Abs. 1 lit. b und Abs. 2 UB. 1. Das Polieren von Uhrenschalen und das Polieren von Uhrenzeigern sind verschiedene Branchen (Erw. 1). 2. Notwendigkeit einer Expertise nach Art. 4 Abs. 1 lit. b UB (Erw. 3). 3. Anwendungsfälle von Art. 4 Abs. 1 lit. b UB (Erw. 4): - Ein Verfahren, das hauptsächlich in einem Handgriff besteht (Erw. 5). - Verbesserung eines Wagens, der einem Werkzeug gleichzustellen ist (Erw. 6). 4. Unter dem Gesichtspunkte von Art. 4 Abs. 2 UB sind nicht als besondere Verhältnisse zu berücksichtigen - eine unerlaubte Tätigkeit des Bewerbers, selbst wenn sie in gutem Glauben ausgeübt wurde, - Erfindungen oder Verfahren, die die Anwendung von Art. 4 Abs. 1 lit. b UB nicht rechtfertigen. Dagegen kann einer hervorragenden handwerklichen Befähigung des Bewerbers Rechnung getragen werden (Erw. 7). 5. Beschwerde wegen rechtsungleicher Behandlung (Erw. 8).</w:t>
      </w:r>
    </w:p>
    <w:p>
      <w:r>
        <w:t>Regeste Art. 4 al. 1 lit. b et al. 2 AIH. 1. Le polissage-lapidage des boîtes de montres d'une part et celui des aiguilles de montres d'autre part ne rentrent pas dans la même branche (consid. 1). 2. Nécessité d'une expertise selon l'art. 4 al. 1 lit. b AIH (consid. 3). 3. Conditions d'application de l'art. 4 al. 1 lit. b AIH (consid. 4): - Cas d'un procédé qui consiste essentiellement dans un tour de main (consid. 5). - Cas de l'amélioration d'un chariot assimilable à un outil (consid. 6). 4. Du point de vue de l'art. 4 al. 2 AIH, on ne peut tenir compte, comme circonstance spéciale, - de l'activité illicite exercée, même de bonne foi, par le requérant, - d'inventions ou de procédés qui ne justifient pas l'application de l'art. 4 al. 1 lit. b AIH. On peut tenir compte, en revanche, des qualités artisanales éminentes que possède le recourant (consid. 7). 5. Argument pris de l'inégalité de traitement (consid. 8).</w:t>
      </w:r>
    </w:p>
    <w:p>
      <w:r>
        <w:t>Regesto Art. 4 cp. 1 lett. b e cp. 2 DISO. 1. Il "polissage-lapidage" delle casse di orologi e quello delle lancette di orologi sono rami diversi (consid. 1). 2. Necessità di una perizia a norma dell'art. 4 cp. 1 lett. b DISO (consid. 3). 3. Condizioni per l'applicabilità dell'art. 4 cp. 1 lett. b DISO (consid. 4). - Caso di un procedimento che consiste essenzialmente in un "tour de main" (consid. 5). - Caso di perfezionamento d'un carrello equiparabile a un arnese (consid. 6). 4. Dal profilo dell'art. 4 cp. 2 DISO non sono da considerarsi come circostanze speciali - l'attività illecita, anche se esercitata dall'istante in buona fede, - le invenzioni o i procedimenti che non giustificano l'applicazione dell'art. 4 cp. 1 lett. b DISO. Viceversa si può tener conto delle qualità artigianali eminenti del ricorrente (consid. 7). 5. Censura di disparità di trattamento (consid. 8).</w:t>
      </w:r>
    </w:p>
    <w:p>
      <w:pPr>
        <w:pStyle w:val="Heading2"/>
      </w:pPr>
      <w:r>
        <w:t>Erwägungen</w:t>
      </w:r>
    </w:p>
    <w:p>
      <w:r>
        <w:rPr>
          <w:b/>
        </w:rPr>
        <w:t>E. 1</w:t>
      </w:r>
    </w:p>
    <w:p>
      <w:r>
        <w:t>Selon l'usage reçu, qui, dans la plupart des cas, est décisif lorsqu'il s'agit de distinguer les unes des autres les diverses branches de l'industrie horlogère, le polissagelapidage des boîtes de montres d'une part, et des aiguilles de montres d'autre part, ne rentrent pas dans la même branche. Le Département, avec les organisations horlogères, estime qu'il n'y a pas lieu de modifier cette situation et le Tribunal fédéral ne voit pas de raison d'intervenir sur ce point. Il s'ensuit que le recourant, qui exploite déjà une entreprise de polissage-lapidage de boîtes de montres, ne peut BGE 80 I 438 S. 443 adjoindre à cette fabrication le polissage-lapidage d'aiguilles de montres sans en avoir obtenu l'autorisation, car cette adjonction constitue une transformation de son entreprise (art. 3 al. 1 et 2 AIH).</w:t>
      </w:r>
    </w:p>
    <w:p>
      <w:r>
        <w:rPr>
          <w:b/>
        </w:rPr>
        <w:t>E. 2</w:t>
      </w:r>
    </w:p>
    <w:p>
      <w:r>
        <w:t>Sous réserve des importants intérêts de l'industrie horlogère, l'art. 4 al. 1 crée un droit à la transformation dans deux cas: d'une part, celui où le requérant désire "exploiter une invention brevetée, un nouveau procédé de fabrication ou une amélioration technique, s'il en résulte un progrès sensible pour l'industrie horlogère" (litt. b) et, d'autre part, celui où la transformation est rendue nécessaire en raison de changements survenus dans la fabrication ou sur le marché (litt. c). De plus, l'art. 4 al. 2 permet d'autoriser la transformation dans d'autres cas encore. Dans la présente espèce, les conditions de l'art. 4 al. 1 litt. c ne sont manifestement pas remplies et le recourant lui-même ne prétend pas le contraire. Il faut donc uniquement examiner si l'autorisation doit être accordée en vertu de l'art. 4 al. 1 litt. b ou de l'art. 4 al. 2.</w:t>
      </w:r>
    </w:p>
    <w:p>
      <w:r>
        <w:rPr>
          <w:b/>
        </w:rPr>
        <w:t>E. 3</w:t>
      </w:r>
    </w:p>
    <w:p>
      <w:r>
        <w:t>Le recourant affirme être au bénéfice d'un nouveau procédé de fabrication ou d'une amélioration technique, dont il résulterait un progrès sensible pour l'industrie horlogère. Dans un tel cas, l'art. 4 al. 1 litt. b AIH prescrit que l'autorité compétente ne prendra sa décision qu'après avoir consulté des experts indépendants. Le Département n'a point ordonné d'expertise en l'espèce. Supposé qu'il y ait là un vice essentiel de la procédure, il serait en tout cas couvert du fait qu'une expertise a été ordonnée par le Tribunal fédéral, qui revoit librement l'application de la disposition précitée.</w:t>
      </w:r>
    </w:p>
    <w:p>
      <w:r>
        <w:rPr>
          <w:b/>
        </w:rPr>
        <w:t>E. 4</w:t>
      </w:r>
    </w:p>
    <w:p>
      <w:r>
        <w:t>Pour que l'art. 4 al. 1 litt. b AIH s'applique'il ne suffit pas de n'importe quel perfectionnement apporté à l'outillage ou aux méthodes de travail; admettre le contraire irait manifestement à l'encontre du but visé par le législateur. Aussi bien, selon les termes mêmes de la disposition légale précitée, faut-il que ce soit en vue BGE 80 I 438 S. 444 d'exploiter l'invention brevetée, le nouveau procédé de fabrication ou l'amélioration technique que l'ouverture ou la transformation soit requise. Cela implique un rapport entre l'innovation apportée par le requérant et l'ouverture ou la transformation d'une entreprise. On ne saurait admettre que l'amélioration d'un outil, d'une pièce de machine ou l'introduction d'un procédé technique qui joueraient un rôle absolument accessoire dans l'ensemble de la fabrication réservée à une branche de l'industrie horlogère confèrent le droit d'entreprendre cette fabrication. Il faut au contraire que l'innovation soit avec l'ouverture ou la transformation projetée dans un rapport adéquat, c'est-à-dire qui nécessite une modification dans les machines ou les moyens de production, telle qu'elle justifie la requête. Il faut aussi que le perfectionnement invoqué soit durable et ne risque pas d'être supplanté à bref délai par un autre. Si l'amélioration d'un outil ou l'introduction d'un nouveau procédé n'ont pas assez d'importance pour justifier l'ouverture ou la transformation d'une entreprise, il n'en résulte pas que l'innovation, si minime soit-elle, sera perdue pour l'industrie horlogère. Celui qui l'a introduite ne manquera pas d'en tirer parti en cédant ses droits à une entreprise déjà existante dans la branche dont il s'agit.</w:t>
      </w:r>
    </w:p>
    <w:p>
      <w:r>
        <w:rPr>
          <w:b/>
        </w:rPr>
        <w:t>E. 5</w:t>
      </w:r>
    </w:p>
    <w:p>
      <w:r>
        <w:t>En l'espèce, l'expert a décrit de la façon suivante le procédé qui permet de donner aux aiguilles une face plate et une face bombée sur toute la longueur: L'aiguille, simplement découpée et d'épaisseur uniforme, est tout d'abord collée, par une de ses faces, sur un bloc de métal dont elle recouvre assez exactement l'extrémité. L'ouvrier en présente ensuite la face libre à une meule et, par les mouvements qu'il lui imprime, la façonne, lui donnant la forme voulue. Il faut donc acquérir une certaine habitude de ce travail, dont le résultat dépend de l'adresse manuelle. Il est clair - et le recourant ne le conteste pas lui-même - que la nouveauté de cette méthode consiste essentiellement dans un tour de main que l'ouvrier doit acquérir; BGE 80 I 438 S. 445 il y a utilisation d'un outillage connu et de l'adresse manuelle pour exécuter le travail. Mais on ne voit aucun rapport adéquat, dans le sens défini plus haut, entre le procédé et l'ouverture d'une nouvelle entreprise; aucune innovation dans les machines employées, ni dans les moyens de production n'apparaît nécessaire.</w:t>
      </w:r>
    </w:p>
    <w:p>
      <w:r>
        <w:rPr>
          <w:b/>
        </w:rPr>
        <w:t>E. 6</w:t>
      </w:r>
    </w:p>
    <w:p>
      <w:r>
        <w:t>Le recourant allègue encore avoir créé un nouveau chariot pour le lapidage des aiguilles de montres. Sur ce point, l'expert donne, en bref, les explications suivantes: Pour fabriquer des aiguilles par lapidage, on a employé tout d'abord une machine à lapider ordinaire, sur laquelle on ajustait un chariot muni d'un tasseau, lequel permettait de centrer l'aiguille et de la présenter aux meules sur toutes ses faces. Le recourant a été le premier à mettre au point un chariot spécialement construit pour la fabrication des aiguilles, qui présente des avantages sur ceux qu'on employait jusqu'alors et permet une fabrication plus rapide. Toutefois, ce procédé est déjà dépassé pour les aiguilles en or ou en laiton; il conserve au contraire toute sa valeur pour le travail sur les aiguilles en acier inoxydable. Ce dernier point en tout cas reste acquis. Cependant, la mise au point d'un chariot, lequel est assimilable à un outil, ne justifie pas, par son importance, la création d'une nouvelle entreprise pour l'exploiter. Là aussi le rapport adéquat entre l'innovation et l'ouverture requise fait défaut. Il s'agit de la simple amélioration d'un outil, qui ne transforme pas profondément la fabrication. On ne saurait de plus admettre en général les demandes justifiées par le perfectionnement d'un outil qui peut être supplanté au bout de peu de temps déjà par un outil plus perfectionné encore ou nouveau.</w:t>
      </w:r>
    </w:p>
    <w:p>
      <w:r>
        <w:rPr>
          <w:b/>
        </w:rPr>
        <w:t>E. 7</w:t>
      </w:r>
    </w:p>
    <w:p>
      <w:r>
        <w:t>Il faut rechercher, enfin, s'il y a lieu d'accorder l'autorisation de par l'art. 4 al. 2 AIH. Selon cette disposition légale, l'autorisation peut être accordée dans d'autres cas encore que ceux qui sont fixés par l'al. 1, mais il faut notamment et en tout cas que la bonne marche de BGE 80 I 438 S. 446 l'entreprise soit assurée. Ainsi, même lorsque le requérant ne satisfait pas intégralement aux conditions que pose l'art. 4 al. 1, l'autorisation sera accordée si des circonstances spéciales le justifient; sinon elle sera refusée (RO 78 I 469). Dans la présente espèce, le recourant ne saurait, tout d'abord, invoquer comme circonstance spéciale le fait que, depuis 1947-1948, il a effectivement pratiqué le lapidage et le polissage des aiguilles de montres. Car cette activité, même si le recourant l'a exercée de bonne foi, croyant qu'elle ne nécessitait pas d'autorisation spéciale, n'en demeurait pas moins illicite. Les progrès que le recourant a fait faire à l'industrie du lapidage et du polissage des aiguilles de montres ne peuvent pas non plus être pris en considération à titre de circonstances spéciales. S'ils ne justifient pas l'autorisation de par l'art. 4 al. 1 litt. b, on ne peut pas non plus en tenir compte du point de vue de l'art. 4 al. 2. Car ce serait, en définitive, faire de la première de ces dispositions légales une application extensive et dangereuse pour l'industrie horlogère. On peut en revanche tenir compte, en faveur du recourant, des qualités d'artisan dont il a fait preuve et qu'attestent les procédés qu'il a mis au point. Mais il a déjà le droit d'exercer une profession dans l'industrie horlogère, celle de lapideur et polisseur de boîtes, où il peut mettre à profit ses capacités. Il n'apparaît pas que celles-ci constituent en outre un titre suffisant pour justifier le droit d'entreprendre une nouvelle branche de fabrication.</w:t>
      </w:r>
    </w:p>
    <w:p>
      <w:r>
        <w:rPr>
          <w:b/>
        </w:rPr>
        <w:t>E. 8</w:t>
      </w:r>
    </w:p>
    <w:p>
      <w:r>
        <w:t>Le recourant allègue enfin avoir été victime d'une inégalité de traitement. Des trois décisions qu'il cite pour justifier ce grief, deux sont antérieures à l'entrée en vigueur de l'arrêté fédéral du 22 juin 1951 et ne peuvent dès lors être prises en considération. Car l'ancien arrêté soumettait à des conditions différentes l'autorisation d'ouvrir ou de transformer une entreprise de l'industrie horlogère. BGE 80 I 438 S. 447 La décision prise par le Département, le 8 septembre 1953, dans la cause Brunner, en revanche, l'a été sous l'empire de l'arrêté du 22 juin 1951 et le cas est comparable à celui de Jeancartier. Il s'agissait d'un termineur de boîtes de montres qui voulait s'adjoindre le lapidage des aiguilles de montres et des signes-appliques pour cadrans. Le Département a accordé l'autorisation, parce que Brunner, d'une part, avait inventé une aiguille présentant une amélioration esthétique et, d'autre part, parce qu'il avait fait preuve de qualités professionnelles remarquables. La décision est fondée sur l'art. 4 al. 2 AIH. L'application de cette règle légale, cependant, comporte une certaine part d'appréciation. Dans ce domaine, l'autorité administrative se prononce souverainement; sa décision n'est pas soumise à la censure du Tribunal fédéral (art. 104 al. 1 et 105 OJ), lequel ne peut donc établir une concordance exacte entre les diverses solutions données. Il lui suffit de relever, en l'espèce, que, dans l'affaire Brunner, le Département a tenu compte, pour appliquer l'art. 4 al. 2, d'une invention qu'il n'avait pas jugée suffisante pour justifier l'autorisation en vertu de l'art. 4 al. 1 litt. b. De par les motifs indiqués plus haut, il convient de ne pas étendre cette pratique, mais bien plutôt de la restreindre.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