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397</w:t>
      </w:r>
    </w:p>
    <w:p>
      <w:r>
        <w:t>Bundesgericht (BGE), 1954-07-13, FR</w:t>
      </w:r>
    </w:p>
    <w:p>
      <w:r>
        <w:rPr>
          <w:b/>
        </w:rPr>
        <w:t xml:space="preserve">Quelle: </w:t>
      </w:r>
      <w:r>
        <w:t>https://mcp.opencaselaw.ch/entscheid/bge_BGE_80_I_397</w:t>
      </w:r>
    </w:p>
    <w:p>
      <w:r>
        <w:t>FR: ATF 80 I 397</w:t>
      </w:r>
    </w:p>
    <w:p>
      <w:r>
        <w:t>IT: DTF 80 I 397</w:t>
      </w:r>
    </w:p>
    <w:p>
      <w:pPr>
        <w:pStyle w:val="Heading2"/>
      </w:pPr>
      <w:r>
        <w:t>Regeste</w:t>
      </w:r>
    </w:p>
    <w:p>
      <w:r>
        <w:t>Regeste Art. 4, Abs. 1, lit. a, und Abs. 2 UB. Wer eine Unternehmung, deren Inhaber er ist, an einen Dritten abgetreten hat, kann sich für die Bewilligung zur Eröffnung einer neuen Unternehmung nicht auf Art. 4, Abs. 1, lit. a UB berufen. - Bei ihm kommt nur Art. 4, Abs. 2 UB in Frage.</w:t>
      </w:r>
    </w:p>
    <w:p>
      <w:r>
        <w:t>Regeste Art. 4 al. 1 lit. a et al. 2 AIH. Celui qui, ayant été titulaire d'une entreprise, l'a cédée à un tiers et demande l'autorisation d'en ouvrir une nouvelle, ne peut invoquer la lit. a de l'art. 4 al. 1. - L'art. 4 al. 2 lui demeure applicable.</w:t>
      </w:r>
    </w:p>
    <w:p>
      <w:r>
        <w:t>Regesto Art. 4 cp. 1 lett. a, e cp. 2 DISO. Colui che ha ceduto un'azienda, di cui era titolare, ad un terzo e che chiede il permesso di aprirne una nuova non può invocare la lett. a dell'art. 4 cp. 1. - Nei suoi confronti è applicabile soltanto l'art. 4 cp. 2.</w:t>
      </w:r>
    </w:p>
    <w:p>
      <w:pPr>
        <w:pStyle w:val="Heading2"/>
      </w:pPr>
      <w:r>
        <w:t>Erwägungen</w:t>
      </w:r>
    </w:p>
    <w:p>
      <w:r>
        <w:rPr>
          <w:b/>
        </w:rPr>
        <w:t>E. 1</w:t>
      </w:r>
    </w:p>
    <w:p>
      <w:r>
        <w:t>Dans son arrêt Etienne, du 12 février 1954 (RO 80 I 91, consid. 5), le Tribunal fédéral a mis en doute que le titulaire d'une fabrique d'horlogerie puisse, après l'avoir cédée à un tiers, faire état de ses connaissances et de son expérience selon l'art. 4 al. 1 lit. a AIH pour obtenir l'autorisation d'en ouvrir une nouvelle. La question, qui avait pu alors rester ouverte, doit être tranchée aujourd'hui: BGE 80 I 397 S. 400 Nicolet, qui avait reçu en 1947, avec son frère, l'autorisation d'entreprendre la fabrication de montres, a remis sa part d'entreprise avec l'actif et le passif et demande l'autorisation d'ouvrir une nouvelle exploitation. Dans les limites fixées par l'art. 3 al. 1 AIH, le titulaire d'une entreprise peut la céder avec l'actif et le passif sans permis, même à une personne qui ne possède aucune qualification ni garantie quelconques. Supposé qu'il remplisse les conditions que pose l'art. 4 al. 1 lit. a AIH, il pourrait, la cession étant opérée, faire usage du droit à l'autorisation que lui confère cette disposition légale et ouvrir ainsi une nouvelle entreprise, puis la remettre à nouveau et ainsi de suite. Ce procédé, d'une part, augmenterait l'appareil de production dans la branche dont il s'agit, sans que l'administration puisse exercer aucun contrôle; d'autre part, il permettrait à un nombre croissant de personnes qui ne remplissent pas les conditions de l'art. 4 al. 1 lit. a AIH de s'établir dans l'horlogerie en éludant les exigences de cette disposition légale. L'art. 3 al. 1 dernière phrase crée, il est vrai, cette possibilité, mais le nombre de ces cas, s'il augmentait au-delà de certaines limites, compromettrait l'équilibre de la production et de la concurrence, que doit précisément établir l'arrêté du 22 juin 1951. Enfin, de telles cessions suivies d'autant de nouvelles ouvertures n'auraient lieu qu'au bénéfice des spéculateurs. C'est précisément en vue d'excès de ce genre que le législateur a réservé, dans le préambule de l'art. 4 al. 1, les "importants intérêts de l'industrie horlogère dans son ensemble ou d'une de ses branches dans son ensemble". Le droit à l'autorisation que confère en particulier l'art. 4 al. 1 lit. a n'existe que dans les limites qu'imposent ces intérêts. Ceux-ci seraient manifestement lésés si l'appareil de production pouvait être augmenté sans contrôle, si les exigences de la loi touchant les capacités et l'expérience des candidats pouvaient être éludées, enfin si de nouvelles entreprises pouvaient être créées en vue de la spéculation. Pour prévenir toute manoeuvre dans ce sens, il faut, par BGE 80 I 397 S. 401 référence aux intérêts importants de l'industrie horlogère, refuser le bénéfice de l'art. 4 al. 1 lit. a AIH à celui qui, ayant été titulaire d'une entreprise, l'a cédée à un tiers et demande ensuite l'autorisation d'en ouvrir une nouvelle. Ce principe, cependant, souffrira certaines exceptions, qui pourront être faites par application de l'art. 4 al. 2 AIH. En effet, cette disposition légale permet d'accorder l'autorisation dans d'autres cas encore que ceux qui sont fixés par l'al. 1. Pour que l'autorisation puisse être accordée en vertu de l'al. 2, il faut notamment et en tout cas que la bonne marche de l'entreprise soit assurée. Ainsi le requérant pourra recevoir l'autorisation même s'il ne satisfait pas intégralement aux conditions de l'art. 4 al. 1 lit. a, si des circonstances spéciales le justifient. Il appartient à la pratique et à la jurisprudence de définir ces circonstances (RO 78 I 469).</w:t>
      </w:r>
    </w:p>
    <w:p>
      <w:r>
        <w:rPr>
          <w:b/>
        </w:rPr>
        <w:t>E. 2</w:t>
      </w:r>
    </w:p>
    <w:p>
      <w:r>
        <w:t>Dans la présente espèce, Nicolet a reçu, en 1947, avec son frère, l'autorisation d'entreprendre la fabrication de montres. Au regard des principes posés plus haut, son cas semble particulier en ce sens qu'il a remis sa part à son associé et qu'ainsi l'entreprise n'a pas été cédée à un tiers qui lui aurait été primitivement étranger. Mais il n'en reste pas moins qu'il s'agit d'une reprise avec l'actif et le passif, puisque la société titulaire a disparu et a été remplacée par une personne physique, Eric Nicolet, qui a repris l'actif et le passif. De plus, le fait que le recourant n'a pas cédé une entreprise dont il aurait été seul titulaire, mais seulement sa part d'une entreprise commune, ne diminue nullement l'atteinte que subiraient les intérêts importants de l'industrie horlogère s'il pouvait se mettre au bénéfice de l'art. 4 al. 1 lit. a et revendiquer le droit d'ouvrir une nouvelle entreprise, qu'il lui serait ensuite loisible de céder sans autorisation dans les limites fixées par l'art. 3 al. 1 i.f. Même donc s'il remplissait les conditions de l'art. 4 al. 1 lit. a AIH, il ne pourrait revendiquer le bénéfice de cette disposition légale. BGE 80 I 397 S. 402 On ne voit pas quelles autres circonstances spéciales permettraient d'accorder néanmoins au recourant l'autorisation qu'il requiert. Supposé qu'il possède les capacités exigées pour l'ouverture d'un atelier de terminage, il n'a en tout cas fait preuve d'aucune aptitude exceptionnelle. On peut retenir qu'il n'a pas réclamé la scission de l'entreprise dont la société en nom collectif était titulaire, en raison des mauvais résultats de l'exploitation. Cependant, du point de vue de l'art. 4 al. 2, ce motif d'aliénation d'une entreprise ne crée aucune circonstance spéciale justifiant l'ouverture d'une nouvelle entreprise. Il était simplement de l'intérêt du recourant de remettre sa part à son frère. Au surplus, le Département affirme, à l'encontre de la présente requête, que, dans la branche du terminage, la situation serait actuellement défavorable.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