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385</w:t>
      </w:r>
    </w:p>
    <w:p>
      <w:r>
        <w:t>Bundesgericht (BGE), 1954-01-01, FR</w:t>
      </w:r>
    </w:p>
    <w:p>
      <w:r>
        <w:rPr>
          <w:b/>
        </w:rPr>
        <w:t xml:space="preserve">Quelle: </w:t>
      </w:r>
      <w:r>
        <w:t>https://mcp.opencaselaw.ch/entscheid/bge_BGE_80_I_385</w:t>
      </w:r>
    </w:p>
    <w:p>
      <w:r>
        <w:t>FR: ATF 80 I 385</w:t>
      </w:r>
    </w:p>
    <w:p>
      <w:r>
        <w:t>IT: DTF 80 I 385</w:t>
      </w:r>
    </w:p>
    <w:p>
      <w:pPr>
        <w:pStyle w:val="Heading2"/>
      </w:pPr>
      <w:r>
        <w:t>Regeste</w:t>
      </w:r>
    </w:p>
    <w:p>
      <w:r>
        <w:t>Regeste Aktiengesellschaft, Handelsregister. 1. Kann die Generalversammlung einen ordnungsgemäss gefassten Auflösungsbeschluss widerrufen? (offen gelassen; Erw. 1). 2. Kognitionsbefugnis des Handelsregisterführers; Rechtsnatur der vom Richter dem Registerführer gemäss Art. 67 HRV erteilten Weisung (Erw. 2 und 3). 3. Die Aufhebung eines Generalversammlungsbeschlusses auf Grund von Art. 706 OR kann nur durch Urteil, nicht auch durch gerichtlichen Vergleich erfolgen (Erw. 4).</w:t>
      </w:r>
    </w:p>
    <w:p>
      <w:r>
        <w:t>Regeste Société anonyme, registre du commerce. 1. L'assemblée générale peut-elle révoquer une décision de dissolution prise régulièrement? (question réservée; consid. 1). 2. Pouvoir d'examen du préposé au registre du commerce; caractère juridique de l'ordonnance adressée par le juge au préposé selon l'art. 67 ORC (consid. 2 et 3). 3. Une décision de l'assemblée générale ne peut être annulée, en vertu de l'art. 706 CO, que par un jugement; une transaction judiciaire ne suffit pas (consid. 4).</w:t>
      </w:r>
    </w:p>
    <w:p>
      <w:r>
        <w:t>Regesto Società anonima, registro di commercio. 1. Può essere revocata dall'assemblea generale la deliberazione, presa regolarmente, di sciogliere la società? (questione lasciata indecisa; consid. 1). 2. Sindacato dell'ufficiale del registro di commercio; carattere giuridico dell'ordine impartito dal giudice all'ufficiale a norma dell'art. 67 ORC (consid. 2 e 3). 3. Una deliberazione dell'assemblea generale può essere annullata, in virtù dell'art. 706 CO, soltanto da una sentenza; una transazione giudiziaria non basta (consid. 4).</w:t>
      </w:r>
    </w:p>
    <w:p>
      <w:pPr>
        <w:pStyle w:val="Heading2"/>
      </w:pPr>
      <w:r>
        <w:t>Erwägungen</w:t>
      </w:r>
    </w:p>
    <w:p>
      <w:r>
        <w:rPr>
          <w:b/>
        </w:rPr>
        <w:t>E. 1</w:t>
      </w:r>
    </w:p>
    <w:p>
      <w:r>
        <w:t>Comme l'ont relevé les autorités cantonales, le Tribunal fédéral a jugé que l'assemblée générale d'une société anonyme ne pouvait, après coup, révoquer une BGE 80 I 385 S. 388 décision de dissolution prise régulièrement (arrêt non publié du 14 septembre 1938 dans la cause Arnold et consorts contre Bâle-Campagne). Les recourants critiquent cet arrêt. Mais il n'est pas nécessaire d'examiner si cette jurisprudence doit être maintenue. Car la question qui se pose en l'espèce est uniquement celle de savoir si le prononcé du Tribunal de première instance de Genève est suffisant, au regard de l' art. 706 CO , pour que la décision du 5 août 1953 soit annulée et que l'inscription du 11 août doive être radiée au registre du commerce. Certes, le 23 janvier 1954, l'assemblée générale des actionnaires a constaté que le mandat du liquidateur avait pris fin et elle a chargé le nouvel administrateur de faire réinscrire la société au registre du commerce. Mais cela ne constitue pas une décision par laquelle la dissolution est révoquée. Il s'agit plutôt de mesures prises pour exécuter le prononcé du 16 décembre 1953, par lequel l'assemblée générale s'est sans doute considérée comme liée.</w:t>
      </w:r>
    </w:p>
    <w:p>
      <w:r>
        <w:rPr>
          <w:b/>
        </w:rPr>
        <w:t>E. 2</w:t>
      </w:r>
    </w:p>
    <w:p>
      <w:r>
        <w:t>Selon les recourants, l'autorité cantonale a méconnu que le prononcé du Tribunal de première instance a donné à la transaction passée par les parties un caractère exécutoire semblable à celui d'un jugement; elle aurait violé en outre l'ordonnance formelle par laquelle le tribunal a enjoint au préposé au registre du commerce de radier l'inscription du 11 août 1953 constatant la dissolution de la société. La décision cantonale revient, disent les recourants, à accorder au préposé le pouvoir de vérifier si le juge a bien appliqué le droit fédéral. Il est exact que, par son prononcé du 16 décembre 1953, le Tribunal de première instance de Genève a ordonné la radiation de l'inscription du 11 août 1953 et, en tant que besoin, la réinscription de la société. Si, prise en elle-même, cette injonction liait le préposé, celui-ci devrait s'y conformer sans pouvoir vérifier si elle est fondée ou non. Mais cette condition n'est pas remplie. L'ordonnance adressée par le juge au préposé, telle qu'elle est prévue à l' art. 67 ORC , ne fait pas partie du jugement. BGE 80 I 385 S. 389 Elle ne constitue qu'une mesure administrative, qui ne donne point au prononcé judiciaire plus de force qu'il n'en a par lui-même. Elle ne dispense donc pas le préposé de vérifier si les conditions légales de l'inscription sont remplies. De ce point de vue, elle ne diffère pas de la demande présentée par les personnes tenues de requérir l'inscription, auxquelles le juge peut, du reste, laisser le soin de faire porter sa décision sur le registre du commerce.</w:t>
      </w:r>
    </w:p>
    <w:p>
      <w:r>
        <w:rPr>
          <w:b/>
        </w:rPr>
        <w:t>E. 3</w:t>
      </w:r>
    </w:p>
    <w:p>
      <w:r>
        <w:t>C'est dans la forme d'un jugement que le Tribunal de première instance de Genève a annulé la décision du 5 août 1953. Mais ce prononcé ne fait que reproduire la transaction passée par les parties, à laquelle il se réfère dans son préambule. Il ne contient aucune décision prise par le juge lui-même, après un examen des faits de la cause. D'un jugement, il n'a donc que la forme; en réalité, il prend simplement acte d'une transaction judiciaire, à laquelle il donne toutefois un caractère exécutoire. Or, si le titre qui doit servir de base à une inscription au registre du commerce est exécutoire, on ne saurait plus vérifier s'il est fondé. Cette règle s'applique non seulement au jugement mais aussi à la transaction judiciaire. Certes, celle-ci a une nature contractuelle, d'après la jurisprudence du Tribunal fédéral (RO 56 I 224, 60 II 58 et 83; cf. également, pour la procédure genevoise, Sem. jud. 1935 p. 575, 1936 p. 39). Elle peut donc être attaquée pour vice du consentement en vertu des art. 23 et suiv. CO et elle manque, dans cette mesure, de l'autorité de la chose jugée. Mais cela ne change rien à son caractère exécutoire, qu'elle conserve tant qu'elle n'est pas annulée pour erreur, dol ou crainte fondée. Aussi est-ce à tort que le préposé au registre du commerce a, en l'espèce, vérifié les pouvoirs du liquidateur et retenu que celui-ci n'était pas compétent pour consentir à l'annulation de la décision du 5 août 1953. Ce point échappait au contrôle du préposé, qui ne pouvait refuser pour ce motif l'inscription requise.</w:t>
      </w:r>
    </w:p>
    <w:p>
      <w:r>
        <w:rPr>
          <w:b/>
        </w:rPr>
        <w:t>E. 4</w:t>
      </w:r>
    </w:p>
    <w:p>
      <w:r>
        <w:t>Mais la question fondamentale reste posée: il s'agit de savoir si, selon l' art. 706 CO , une décision de BGE 80 I 385 S. 390 l'assemblée générale ne peut être annulée que par un jugement ou s'il suffit d'une transaction passée entre l'actionnaire attaquant et le représentant de la société. C'est là un point qui touche aux conditions formelles dont le préposé doit vérifier la réalisation avant de procéder à l'inscription. Or les autorités cantonales ont considéré avec raison qu'une transaction était un titre insuffisant pour entraîner la radiation d'une résolution de l'assemblée générale. Car l'annulation d'une telle décision est opposable à tous les actionnaires ( art. 706 al. 5 CO ) et cet effet absolu suppose un jugement. Il est évident, en effet, qu'un actionnaire ne pourrait, par un accord extrajudiciaire passé avec le représentant de la société, annuler une décision de l'assemblée générale et lier par cette convention les autres actionnaires. Il ne saurait en être autrement d'une transaction judiciaire. Celle-ci exige le même pouvoir de disposition sur l'objet du litige et ne se distingue de la transaction extrajudiciaire qu'en ce que le juge en prend acte et raye le procès du rôle. Or l'objet du litige n'est pas seulement soustrait à la libre disposition des parties dans les différends qui touchent à l'intérêt public, comme les divorces. C'est également le cas lorsque, en vertu du droit matériel, la situation juridique créée par le jugement est opposable à des tiers qui n'interviennent pas dans la procédure. Aussi serait-il justifié que, lorsqu'il s'agit de l'annulation d'une décision de l'assemblée générale, le juge dût vérifier d'office les faits invoqués à l'appui de l'action, pour éviter que le représentant de la société, d'accord avec l'actionnaire attaquant, ne soutînt le procès de manière défavorable aux actionnaires qui ont approuvé la décision contestée. Or la loi n'impose pas une telle obligation au juge. Mais cela ne signifie pas qu'une transaction soit suffisante pour provoquer l'annulation d'une décision de l'assemblée générale. En effet, il n'est pas indispensable, pour sauvegarder les droits des tiers actionnaires, que le juge doive vérifier les faits d'office. Si le procès suit son cours normal, BGE 80 I 385 S. 391 l'actionnaire qui approuve la décision litigieuse peut, par une intervention, rendre inopérante une collusion entre le demandeur et le représentant de la société. En revanche, ce moyen lui ferait défaut en cas de transaction. Du reste, la nécessité d'un jugement ressort du texte de l' art. 706 CO . A son al. 1, cette disposition prescrit que les décisions de l'assemblée générale peuvent être attaquées "en justice" et l'al. 5 déclare "le jugement" opposable à tous les actionnaires. Or ces termes ne visent pas la transaction; autrement le législateur l'aurait mentionnée expressément, comme il l'a fait dans d'autres dispositions (art. 396 al. 3, 585 al. 2, 743 al. 3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