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361</w:t>
      </w:r>
    </w:p>
    <w:p>
      <w:r>
        <w:t>Bundesgericht (BGE), 1954-10-22, DE</w:t>
      </w:r>
    </w:p>
    <w:p>
      <w:r>
        <w:rPr>
          <w:b/>
        </w:rPr>
        <w:t xml:space="preserve">Quelle: </w:t>
      </w:r>
      <w:r>
        <w:t>https://mcp.opencaselaw.ch/entscheid/bge_BGE_80_I_361</w:t>
      </w:r>
    </w:p>
    <w:p>
      <w:r>
        <w:t>FR: ATF 80 I 361</w:t>
      </w:r>
    </w:p>
    <w:p>
      <w:r>
        <w:t>IT: DTF 80 I 361</w:t>
      </w:r>
    </w:p>
    <w:p>
      <w:pPr>
        <w:pStyle w:val="Heading2"/>
      </w:pPr>
      <w:r>
        <w:t>Regeste</w:t>
      </w:r>
    </w:p>
    <w:p>
      <w:r>
        <w:t>Regeste Wehrsteuer: Bemessung des Einkommens in Fällen von Veränderungen in der Erwerbstätigkeit (Berufswechsel).</w:t>
      </w:r>
    </w:p>
    <w:p>
      <w:r>
        <w:t>Regeste Impôt pour la défense nationale: Revenu imposable en cas de modification survenue dans l'activité à but lucratif (changement de profession).</w:t>
      </w:r>
    </w:p>
    <w:p>
      <w:r>
        <w:t>Regesto Imposta per la difesa nazionale: Computo del reddito in caso di modificazione dell'attività a scopo lucrativo (mutamento di professione).</w:t>
      </w:r>
    </w:p>
    <w:p>
      <w:pPr>
        <w:pStyle w:val="Heading2"/>
      </w:pPr>
      <w:r>
        <w:t>Erwägungen</w:t>
      </w:r>
    </w:p>
    <w:p>
      <w:r>
        <w:rPr>
          <w:b/>
        </w:rPr>
        <w:t>E. 1</w:t>
      </w:r>
    </w:p>
    <w:p>
      <w:r>
        <w:t>In BGE 79 I S. 357 ff. (Chabot) ist festgestellt worden, dass ein "Berufswechsel" im Sinne von Art. 42 WStB nur dann anzunehmen ist, wenn in der Erwerbstätigkeit, die der Steuerpflichtige ausübt, eine wesentliche Änderung eingetreten ist. Eine solche liegt nicht nur dann vor, wenn der Steuerpflichtige einen andern Beruf ergriffen hat, sondern auch wenn sich seine Stellung innerhalb des Berufes wesentlich geändert hat. Ein gewöhnlicher Stellenwechsel dagegen wird nach der Praxis nicht als Berufsänderung im Sinne von Art. 42 WStB angesehen, auch wenn damit eine BGE 80 I 361 S. 363 erhebliche Veränderung, Erhöhung oder Verminderung, des Erwerbes verbunden ist.</w:t>
      </w:r>
    </w:p>
    <w:p>
      <w:r>
        <w:rPr>
          <w:b/>
        </w:rPr>
        <w:t>E. 2</w:t>
      </w:r>
    </w:p>
    <w:p>
      <w:r>
        <w:t>Hat man es daher mit einem gewöhnlichen Stellenwechsel zu tun, so ist - trotz der damit verbundenen nicht unerheblichen Veränderung des Einkommens - ein Berufswechsel im Sinne des Gesetzes nicht anzunehmen. Indessen ist eine Veränderung in der Erwerbstätigkeit, der sich Steuerpflichtige infolge Entlassung wegen Erreichung der Altersgrenze unterziehen müssen, in der Regel kein gewöhnlicher Stellenwechsel. Die Entlassung bedeutet in solchen Fällen meist die Beendigung einer Lebensstellung, die sich der Erwerbstätige in langjährigen Bemühungen nach und nach geschaffen hatte. Sie bedingt unter Umständen eine vollständige Neuorientierung. Ein wegen seines Alters Entlassener wird bei einem neuen Arbeitgeber nicht leicht eine Stellung einnehmen können, die der früheren, in langen Bemühungen erreichten Position einigermassen nahekommt. Er wird sich mit einem Altersposten begnügen müssen.</w:t>
      </w:r>
    </w:p>
    <w:p>
      <w:r>
        <w:rPr>
          <w:b/>
        </w:rPr>
        <w:t>E. 3</w:t>
      </w:r>
    </w:p>
    <w:p>
      <w:r>
        <w:t>Hier sah sich der Steuerpflichtige - nach seinen Angaben, die im Verfahren von keiner Seite bestritten worden sind - zum Übertritt in eine Stellung bei einer privaten Wirtschaftsorganisation gezwungen, weil er als Aushilfsbeamter der Bundesverwaltung nur im Genusse einer Sparversicherung war und daher keinen Pensionsanspruch hatte. Er bekleidet heute nach seinen Angaben eine gewöhnliche Bureaustelle, während er früher einen verantwortlichen Posten als Revisor innehatte. Er befindet sich demnach infolge seiner Entlassung aus dem Bundesdienste in einer Lage, die ungefähr derjenigen eines wegen Teilinvalidität Pensionierten gleichkommt. Unter diesen Umständen entspricht es den in BGE 79 I 357 ff., bes. S. 360, aufgestellten Richtlinien, die Bemessung des steuerbaren Einkommens gemäss Art. 42 WStB auf Grund des Verdienstes vorzunehmen, den der Steuerpflichtige in seiner neuen Stellung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