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355</w:t>
      </w:r>
    </w:p>
    <w:p>
      <w:r>
        <w:t>Bundesgericht (BGE), 1948-09-03, FR</w:t>
      </w:r>
    </w:p>
    <w:p>
      <w:r>
        <w:rPr>
          <w:b/>
        </w:rPr>
        <w:t xml:space="preserve">Quelle: </w:t>
      </w:r>
      <w:r>
        <w:t>https://mcp.opencaselaw.ch/entscheid/bge_BGE_80_I_355</w:t>
      </w:r>
    </w:p>
    <w:p>
      <w:r>
        <w:t>FR: ATF 80 I 355</w:t>
      </w:r>
    </w:p>
    <w:p>
      <w:r>
        <w:t>IT: DTF 80 I 355</w:t>
      </w:r>
    </w:p>
    <w:p>
      <w:pPr>
        <w:pStyle w:val="Heading2"/>
      </w:pPr>
      <w:r>
        <w:t>Regeste</w:t>
      </w:r>
    </w:p>
    <w:p>
      <w:r>
        <w:t>Regeste Art. 2 lit. b MStG. Die Untauglichkeit zufolge eines Unfalls auf dem Heimwege aus dem Militärdienst am Entlassungstag gilt nicht als Steuerbefreiungsgrund, wenn sich der Unfall anlässlich eines Umweges ereignete.</w:t>
      </w:r>
    </w:p>
    <w:p>
      <w:r>
        <w:t>Regeste Art. 2 lit. b LTM: N'a pas droit à l'exonération de la taxe le militaire devenu inapte par suite d'un accident survenu alors qu'après la mobilisation, il rentrait chez lui par une voie détournée.</w:t>
      </w:r>
    </w:p>
    <w:p>
      <w:r>
        <w:t>Regesto Art. 2 lett. b LTM: Non è esentato dal pagamento della tassa militare il milite divenuto inabile al servizio in seguito ad un infortunio occorsogli allorchè rientrava a casa, dopo il licenciamento, per una via che non era la piu corta.</w:t>
      </w:r>
    </w:p>
    <w:p>
      <w:pPr>
        <w:pStyle w:val="Heading2"/>
      </w:pPr>
      <w:r>
        <w:t>Erwägungen</w:t>
      </w:r>
    </w:p>
    <w:p>
      <w:r>
        <w:rPr>
          <w:b/>
        </w:rPr>
        <w:t>E. 1</w:t>
      </w:r>
    </w:p>
    <w:p>
      <w:r>
        <w:t>L'art. 2 litt. b LTM exonère de la taxe d'exemption le militaire qui est devenu inapte au service par suite de ce service. Cette disposition légale exige donc qu'il y ait, entre le service militaire et l'inaptitude, une relation de causalité adéquate. Les actes dommageables qui entraînent finalement l'inaptitude, en particulier ceux qui provoquent un accident, devront, par conséquent, apparaître comme des actes de la vie militaire.</w:t>
      </w:r>
    </w:p>
    <w:p>
      <w:r>
        <w:rPr>
          <w:b/>
        </w:rPr>
        <w:t>E. 2</w:t>
      </w:r>
    </w:p>
    <w:p>
      <w:r>
        <w:t>Dans la présente espèce, B. allègue qu'il y a, entre l'accident de motocyclette du 11 septembre 1948 et la maladie, cause de son inaptitude, un lien de causalité qui justifie l'application de l'art. 2 litt. b LTM. Pour qu'un tel lien puisse exister, il faudrait, selon les règles rappelées plus haut, que la course à motocyclette pendant laquelle le recourant a fait une chute puisse être considérée comme un acte de la vie militaire. En principe, le service militaire comprend le jour de l'entrée au service et celui du retour; il en va ainsi du point de vue disciplinaire et pénal (art. 24 III du règlement de service qui était en vigueur en 1948), de même pour le paiement de la solde (art. 11 al. 2 de l'AF du 30 mars 1949 concernant l'administration de l'armée suisse) et pour le port de l'uniforme (art. 126 du règlement de service). Rentrent généralement au nombre des actes de la vie militaire tous les actes accomplis pendant la période ainsi fixée. Sans doute les actes de cette catégorie ne sont-ils pas tous spécifiquement militaires ou absolument commandés par des nécessités militaires. Ainsi, par exemple, les actes licites que le militaire accomplit pendant ses loisirs pour se délasser et se distraire seront, bien qu'ils n'aient rien de spécifique, considérés comme des actes militaires, parce qu'il est normal, utile, voire même nécessaire pour la bonne marche du service, que de tels actes soient accomplis. Il n'en va pas de même du trajet que fait un militaire BGE 80 I 355 S. 360 après le licenciement pour rentrer chez lui par une voie détournée. Sans doute, le jour du licenciement compte-t-il au nombre des jours de service. Mais l'art. 155 du règlement de service précise qu'après le licenciement, le militaire doit rentrer chez lui par la voie la plus courte; s'il entend faire un détour, il doit en demander l'autorisation à son commandant d'unité. Quelle que soit du reste la pratique suivie et même s'il est d'usage que les supérieurs hiérarchiques n'exigent pas strictement que leurs subordonnés se munissent d'une autorisation pour les détours qui leur permettent encore de regagner leur domicile le jour même, il n'en reste pas moins que de tels détours sont en eux-mêmes et dès le principe en dehors de la vie militaire; ils ne peuvent être pour elle d'aucune utilité et le militaire, sauf mission de service exceptionnelle, ne les fait que pour des raisons strictement personnelles. On ne peut donc les assimiler aux actes de service comme on le fera, par exemple, pour les actes accomplis pendant les loisirs. Il suit de là qu'avec ou sans autorisation de son supérieur, dès lors qu'il se détournait de la voie la plus courte, B. n'accomplissait plus un acte militaire en rentrant chez lui après le licenciement. L'accident dont il a été victime ne peut être considéré comme un accident militaire et, supposé qu'il ait entraîné ou seulement aggravé une maladie ou une infirmité qui entraîne l'inaptitude, on ne pourrait dire, de ce fait, que l'inaptitude soit une conséquence du service.</w:t>
      </w:r>
    </w:p>
    <w:p>
      <w:r>
        <w:rPr>
          <w:b/>
        </w:rPr>
        <w:t>E. 3</w:t>
      </w:r>
    </w:p>
    <w:p>
      <w:r>
        <w:t>En revanche, il faut présumer que la contusion du genou gauche que B. a annoncée au médecin de troupe, le 3 septembre 1948, était due à un acte de la vie militaire. Mais, contrairement à ce qu'affirme le recourant, rien ne permet d'admettre qu'il se soit agi là d'une contusion violente. Le médecin l'a manifestement jugée légère et elle n'a eu aucune suite puisqu'elle n'a entraîné aucune interruption de service, n'a pas nécessité de ménagements spéciaux et que l'homme ne s'est pas annoncé à la visite sanitaire de sortie. BGE 80 I 355 S. 361 On ne saurait donc admettre qu'elle ait pu provoquer, ni même aggraver l'arthronose déformante et le rhumatisme chronique qui ont justifié la réforme de 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