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35</w:t>
      </w:r>
    </w:p>
    <w:p>
      <w:r>
        <w:t>Bundesgericht (BGE), 1954-03-12, DE</w:t>
      </w:r>
    </w:p>
    <w:p>
      <w:r>
        <w:rPr>
          <w:b/>
        </w:rPr>
        <w:t xml:space="preserve">Quelle: </w:t>
      </w:r>
      <w:r>
        <w:t>https://mcp.opencaselaw.ch/entscheid/bge_BGE_80_I_35</w:t>
      </w:r>
    </w:p>
    <w:p>
      <w:r>
        <w:t>FR: ATF 80 I 35</w:t>
      </w:r>
    </w:p>
    <w:p>
      <w:r>
        <w:t>IT: DTF 80 I 35</w:t>
      </w:r>
    </w:p>
    <w:p>
      <w:pPr>
        <w:pStyle w:val="Heading2"/>
      </w:pPr>
      <w:r>
        <w:t>Regeste</w:t>
      </w:r>
    </w:p>
    <w:p>
      <w:r>
        <w:t>Regeste Couponabgabe, Verrechnungssteuer: Die Erhöhung des Nennwerts von Aktien unter Verwendung von Mitteln der Gesellschaft unterliegt diesen Abgaben.</w:t>
      </w:r>
    </w:p>
    <w:p>
      <w:r>
        <w:t>Regeste Droit de timbre sur les coupons, impôt anticipé: L'augmentation de la valeur nominale des actions par prélèvement sur des fonds sociaux est soumis à ces impôts.</w:t>
      </w:r>
    </w:p>
    <w:p>
      <w:r>
        <w:t>Regesto Tassa di bollo sulle cedole, imposta preventiva: L'aumento del valore nominale di azioni mediante prelevamenti sui fondi della società soggiace a tali tributi.</w:t>
      </w:r>
    </w:p>
    <w:p>
      <w:pPr>
        <w:pStyle w:val="Heading2"/>
      </w:pPr>
      <w:r>
        <w:t>Erwägungen</w:t>
      </w:r>
    </w:p>
    <w:p>
      <w:r>
        <w:rPr>
          <w:b/>
        </w:rPr>
        <w:t>E. 1</w:t>
      </w:r>
    </w:p>
    <w:p>
      <w:r>
        <w:t>Nach Art. 5 Abs. 2 CG sind Gegenstand der Couponabgabe u.a. Urkunden zum Bezuge, zur Auszahlung, Überweisung, Gutschrift oder Verrechnung solcher geldwerter Leistungen der Aktiengesellschaft an die Inhaber gesellschaftlicher Beteiligungsrechte, die sich nicht als Rückzahlung der dividendenberechtigten Anteile am einbezahlten Grundkapital darstellen. Die Bestimmung nennt am Schluss Beispiele steuerbarer Leistungen, darunter die Ausgabe von Gratisaktien. Der Sinn der Aufzählung ist klar. Das Gesetz führt typische Tatbestände an, um zu veranschaulichen, wie die vorausgehende allgemeine Umschreibung der steuerbaren Leistung zu verstehen ist. Es stellt damit zugleich fest, dass diese Tatbestände selbst der Abgabe unterliegen; es lässt für eine abweichende Auffassung keinen Raum. Daher ist im einzelnen Fall nicht mehr zu untersuchen, ob die Zuteilung von Gratisaktien an Aktionäre eine steuerbare Leistung im Sinne von Art. 5 Abs. 2 CG sei. Der Ausgabe von Gratisaktien ist der Fall gleichzustellen, wo der Nennwert von Aktien gratis erhöht wird; denn die betreffenden Titel werden zu Gratisaktien in dem Betrage, mit dem sie aus Mitteln der Gesellschaft liberiert werden. Die Gratiserhöhung des Nennwerts von Aktien ist somit, kraft positiver Anordnung in Art. 5 Abs. 2 CG, der Couponabgabe und infolgedessen, nach Art. 4 Abs. 1 lit. a VStB, auch der Verrechnungssteuer unterworfen.</w:t>
      </w:r>
    </w:p>
    <w:p>
      <w:r>
        <w:rPr>
          <w:b/>
        </w:rPr>
        <w:t>E. 2</w:t>
      </w:r>
    </w:p>
    <w:p>
      <w:r>
        <w:t>Die Entscheidung könnte auch dann nicht anders ausfallen, wenn Art. 5 Abs. 2 CG die Zuteilung von Gratisaktien nicht ausdrücklich als Gegenstand der Abgabe erklärte. Durch den Bezug solcher Aktien und durch die BGE 80 I 35 S. 38 ihm gleichstehende Gratiserhöhung des Nennwerts von Aktien erhalten die Aktionäre kraft ihrer Mitgliedschaft und nach Massgabe ihrer bisherigen Beteiligung eine Leistung, die nicht Rückzahlung dividendenberechtigter Anteile am einbezahlten Grundkapital ist. Die Leistung wird von der Aktiengesellschaft erbracht, deren Mittel dafür verwendet werden. Sie besteht in der Liberierung, Einzahlung des entsprechenden Betrages auf das Aktienkapital. Einer Zahlung kann aber Geldwert unter keinen Umständen mit Grund abgesprochen werden, auch dann nicht, wenn sie, wie hier, durch Gutschrift vorgenommen wird, zumal da Art. 5 Abs. 2 CG Gutschriften ausdrücklich als Formen geldwerter Leistungen aufführt. Der Einwand, dass durch den in Frage stehenden Vorgang nichts aus dem Vermögen der Gesellschaft ausgeschieden, an den Aktionär zur freien Verfügung ausgerichtet werde, hilft der Beschwerdeführerin nicht. Die Ausrichtung liegt darin, dass frei verfügbare Mittel der Gesellschaft gebunden, auf die persönliche Beteiligung des einzelnen Aktionärs übertragen und diesem damit, durch Gutschrift, zugewendet werden. Über den Titel im neuen erhöhten Nennwert kann der Aktionär frei zu eigenem Nutzen verfügen ( BGE 69 I 38 ; Urteil vom 31. Mai 1943, ASA 12, 356). Dass die Leistung eine Bereicherung des Aktionärs bewirke, ist nicht Voraussetzung der Abgabepflicht ( BGE 61 I 293 ), was in der Beschwerdeschrift anerkannt wird. Ebenso ist unwesentlich, ob mit der Leistung eine Steuerumgehung beabsichtigt war oder nicht ( BGE 72 I 314 oben, Erw.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