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344</w:t>
      </w:r>
    </w:p>
    <w:p>
      <w:r>
        <w:t>Bundesgericht (BGE), 1954-01-01, DE</w:t>
      </w:r>
    </w:p>
    <w:p>
      <w:r>
        <w:rPr>
          <w:b/>
        </w:rPr>
        <w:t xml:space="preserve">Quelle: </w:t>
      </w:r>
      <w:r>
        <w:t>https://mcp.opencaselaw.ch/entscheid/bge_BGE_80_I_344</w:t>
      </w:r>
    </w:p>
    <w:p>
      <w:r>
        <w:t>FR: ATF 80 I 344</w:t>
      </w:r>
    </w:p>
    <w:p>
      <w:r>
        <w:t>IT: DTF 80 I 344</w:t>
      </w:r>
    </w:p>
    <w:p>
      <w:pPr>
        <w:pStyle w:val="Heading2"/>
      </w:pPr>
      <w:r>
        <w:t>Regeste</w:t>
      </w:r>
    </w:p>
    <w:p>
      <w:r>
        <w:t>Regeste Ausserdienstliche Verwendung von Militärfahrrädern. Eine kantonale Vorschrift, nach der vom Militärradfahrer für die Zulassung seines Militärrades zum Verkehr die gleichen Ausweise und Gebühren verlangt werden wie vom Zivilradfahrer, ist nicht bundesrechtswidrig. Art. 2 Üb.-Best. z. BV, 4 BV, 165 MO, 71 Abs. 5 MFG, 9 und 12 der eidg. VO betr. die Militärfahrräder vom 14.3.1939, 60 der eidg. VO über die Mannschaftsausrüstung vom 20.7.1954.</w:t>
      </w:r>
    </w:p>
    <w:p>
      <w:r>
        <w:t>Regeste Utilisation de bicyclettes militaires hors du service. N'est pas contraire au droit fédéral une prescription cantonale qui exige de l'usager d'une bicyclette militaire, pour que celle-cisoit admise à circuler, les mêmes permis et taxes que de l'usager d'une bicyclette civile. Art. 2 disp. transit. Cst., 4 Cst., 165 OM, 71 al. 5 LA, 9 et 12 de l'ordonnance du Conseil fédéral sur les bicyclettes militaires, du 14 mars 1939, et art. 60 de l'ordonnance du Conseil fédéral sur l'équipement des troupes, du 20 juillet 1954.</w:t>
      </w:r>
    </w:p>
    <w:p>
      <w:r>
        <w:t>Regesto Uso di biciclette militari fuori servizio. Non è in urto col diritto federale una prescrizione cantonale che subordina il diritto di circolare fuori servizio con una bicicletta militare alle stesse autorizzazioni e tasse richieste a coloro che usano una bicicletta comune. Art. 2 disp. trans. CF, art. 4 CF, 165 OM, 71 cp. 5 LA, 9 e 12 dell'ordinanza 14 marzo 1939 del Consiglio federale sulle biciclette militari, 60 dell'ordinanza 20 luglio 1954 del consiglio federale concernente l'equipaggiamento delle truppe.</w:t>
      </w:r>
    </w:p>
    <w:p>
      <w:pPr>
        <w:pStyle w:val="Heading2"/>
      </w:pPr>
      <w:r>
        <w:t>Erwägungen</w:t>
      </w:r>
    </w:p>
    <w:p>
      <w:r>
        <w:rPr>
          <w:b/>
        </w:rPr>
        <w:t>E. 1</w:t>
      </w:r>
    </w:p>
    <w:p>
      <w:r>
        <w:t>Der Beschwerdeführer leitet aus der eidg. Verordnung betreffend die Militärfahrräder vom 14. März 1939 (MilFV) zu Unrecht ab, dass er von Bundesrechts wegen zum Verkehr mit seinem Militärfahrrad zugelassen sei und daher keiner kantonalen Bewilligung mehr bedürfe. Diese Verordnung wurde erlassen in Ausführung von Art. 89 MO , der im Abschnitt VIII (Bewaffnung und persönliche Ausrüstung) enthalten ist und bestimmt, dass der Bund den Militärradfahrern die Fahrräder liefert und der Bundesrat das Rechtsverhältnis hinsichtlich dieser Fahrräder ordnet. Art. 12 Abs. 1 MilFV, wonach der Militärradfahrer zum ausserdienstlichen Gebrauch seines Dienstrades berechtigt ist, stellt eine Ausnahme von dem im gleichen Abschnitt der MO enthaltenen Art. 91 Abs. 2 dar, der dem Wehrmann die ausserdienstliche Benützung der persönlichen Ausrüstung grundsätzlich verbietet. Es besteht kein Anhaltspunkt dafür, dass Art. 12 Abs. 1 MilFV eine über den Wortlaut und die gesetzliche Grundlage hinausgehende Bedeutung hat und nicht nur den Militärradfahrern die ausserdienstliche Verwendung der Militärfahrräder gestatten, sondern deren Zulassung zum Verkehr regeln und damit kantonale Vorschriften hierüber ausschliessen will. BGE 80 I 344 S. 348 Dass Art. 12 Abs. 1 solche kantonalen Vorschriften im Gegenteil vorbehält, ergibt sich aus Abs. 2, wonach der Militärradfahrer beim ausserdienstlichen Gebrauch der Militärfahrräder wie die übrigen Zivilradfahrer den eidgenössischen und kantonalen Verkehrs- und Polizeivorschriften untersteht. Etwas anderes folgt auch nicht aus Art. 9 MilFV, welcher den Militärradfahrer verpflichtet, für den ausserdienstlichen Gebrauch des Fahrrads eine Haftpflichtversicherung abzuschliessen. Damit wird nur zum Ausdruck gebracht, dass der Bund für den bei ausserdienstlichem Gebrauch von Militärfahrrädern verursachten Schaden keinesfalls haftet, dass also, wie Art. 60 der auf 1. Januar 1955 in Kraft tretenden Verordnung über die Mannschaftsausrüstung vom 20. Juli 1954 nun ausdrücklich sagt, die "ausserdienstliche Benützung der Militärfahrräder unter ausschliesslicher Verantwortung des Militärradfahrers erfolgt". Die Annahme, dass der diesem deshalb zur Pflicht gemachte Abschluss einer Haftpflichtversicherung von Bundesrechts wegen seine Zulassung zum Verkehr zur Folge habe, verbietet sich schon deshalb, weil Art. 9 über den Inhalt der abzuschliessenden Versicherung nichts besagt. Dessen Festsetzung konnte und wollte aber nicht einfach dem Ermessen des einzelnen Radfahrers überlassen werden, weshalb hier das kantonale Recht, dem die Fahrradhaftpflichtversicherung ja ohnehin untersteht, ergänzend eingreift. Und zwar kann dieses nicht nur Höhe, Umfang, Geltungsdauer usw. der Versicherungspflicht bestimmen, sondern auch die der Kontrolle der Erfüllung dieser Pflicht dienenden Ausweise uud Kennzeichen vorschreiben. Dass solche Kennzeichen der kantonalen Haftpflichtversicherung auch während des Dienstes am Fahrrad belassen werden müssen (Art. 9 MilFV) bzw. können (Art. 60 der erwähnten Verordnung vom 20. Juli 1954), ist bedeutungslos, da sich aus dieser für den dienstlichen Gebrauch geltenden Vorschrift nichts für die ausserdienstliche Verwendung ableiten lässt. § 23 der zürch. Fahrrad-Verordnung, wonach die Militärfahrräder BGE 80 I 344 S. 349 für den ausserdienstlichen Gebrauch den Bestimmungen dieser Verordnung und damit auch den in den §§ 1-3 enthaltenen Vorschriften über die Zulassung zum Verkehr unterliegen, widerspricht somit keiner Vorschrift des Bundesrechts. Der Militärradfahrer, der sein Dienstrad ausserdienstlich verwendet, bedarf daher wie der Zivilradfahrer eines amtlichen Fahrradausweises und eines amtlichen Kennzeichens.</w:t>
      </w:r>
    </w:p>
    <w:p>
      <w:r>
        <w:rPr>
          <w:b/>
        </w:rPr>
        <w:t>E. 2</w:t>
      </w:r>
    </w:p>
    <w:p>
      <w:r>
        <w:t>Nach § 16 der zürch. Fahrrad-Verordnung beträgt die jährliche Gebühr für den Fahrradausweis Fr. 2.-, die Gebühr für das Kennzeichen 50 Rp. Dass es sich dabei um wirkliche Gebühren und nicht um Steuern handelt, steht nach dem Zweck und der Höhe der Abgaben ausser Zweifel und wird denn auch vom Beschwerdeführer nicht bestritten. Er ist jedoch der Auffassung, dass auch die Erhebung von Gebühren gegen Bundesrecht verstosse, da nach Art. 165 MO die Diensträder der Radfahrer nicht mit kantonalen Steuern und Gebühren belegt werden dürfen. Diese Bestimmung ist jedoch, wie der angefochtene Entscheid zutreffend ausführt, abgeändert worden durch Art. 71 Abs. 5 MFG, der für Fahrräder des Bundes und Militärfahrräder nur Steuerfreiheit vorschreibt, also die Erhebung von Gebühren nicht ausschliesst ( BGE 66 I 203 ; STREBEL, N. 21 zu Art. 71 MFG). Die Berufung des Beschwerdeführers auf das Protokoll der Expertenkommission zum Vorentwurf des MFG vermag dagegen nicht aufzukommen; daraus, dass dort gegenüber dem Antrag auf Steuer- und Gebührenfreiheit für Fahrräder des Bundes und Militärfahrräder auf die für eine allfällige Haftpflichtversicherung zu entrichtenden Prämien hingewiesen wurde, kann nicht abgeleitet werden, dass nur die Erhebung solcher Prämien, nicht dagegen der Bezug von Gebühren für die der Kontrolle der Erfüllung der Versicherungspflicht dienenden Ausweise und Kennzeichen zulässig wäre.</w:t>
      </w:r>
    </w:p>
    <w:p>
      <w:r>
        <w:rPr>
          <w:b/>
        </w:rPr>
        <w:t>E. 3</w:t>
      </w:r>
    </w:p>
    <w:p>
      <w:r>
        <w:t>Steht den Kantonen demnach die Befugnis zu, vom Militärradfahrer für die ausserdienstliche Verwendung seines Militärrades die gleichen Ausweise und Gebühren zu BGE 80 I 344 S. 350 verlangen wie vom Zivilradfahrer, so erweist sich auch die Beschwerde wegen Verletzung von Art. 4 BV als unbegründet, da darin, dass einzelne Kantone von dieser Befugnis keinen oder nur beschränkten Gebrauch machen, keine rechtsungleiche Behandlung erblickt werden kann. Art. 4 BV ist nicht verletzt, wenn das kantonale Recht von Kanton zu Kanton verschieden ist ( BGE 65 I 257 Erw. 12, BGE 69 I 185 Erw. 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