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325</w:t>
      </w:r>
    </w:p>
    <w:p>
      <w:r>
        <w:t>Bundesgericht (BGE), 1954-12-15, DE</w:t>
      </w:r>
    </w:p>
    <w:p>
      <w:r>
        <w:rPr>
          <w:b/>
        </w:rPr>
        <w:t xml:space="preserve">Quelle: </w:t>
      </w:r>
      <w:r>
        <w:t>https://mcp.opencaselaw.ch/entscheid/bge_BGE_80_I_325</w:t>
      </w:r>
    </w:p>
    <w:p>
      <w:r>
        <w:t>FR: ATF 80 I 325</w:t>
      </w:r>
    </w:p>
    <w:p>
      <w:r>
        <w:t>IT: DTF 80 I 325</w:t>
      </w:r>
    </w:p>
    <w:p>
      <w:pPr>
        <w:pStyle w:val="Heading2"/>
      </w:pPr>
      <w:r>
        <w:t>Regeste</w:t>
      </w:r>
    </w:p>
    <w:p>
      <w:r>
        <w:t>Regeste Kantonales Steuerrecht. Willkür. Handänderungssteuer mit progressivem Satz. Erwerb zweier an einer konkursamtlichen Steigerung einzeln versteigerter Liegenschaften durch die gleiche Person. Unzulässigkeit der Zusammenrechnung der Erwerbspreise für die Bemessung der Handänderungssteuer mangels gesetzlicher Grundlage.</w:t>
      </w:r>
    </w:p>
    <w:p>
      <w:r>
        <w:t>Regeste Droit fiscal cantonal, arbitraire. Droits de mutation avec taux progressif. Acquisition par la même personne de deux immeubles vendus séparément au cours d'enchères rentrant dans une procédure de faillite. Il est inadmissible, à défaut d'une base légale, de faire la somme des prix d'achat dans la taxation au titre des droits de mutation.</w:t>
      </w:r>
    </w:p>
    <w:p>
      <w:r>
        <w:t>Regesto Diritto fiscale cantonale, arbitrio. Imposta sulle transazioni immobiliari con aliquota progressiva. Acquisto da parte della stessa persona di due immobili aggiudicati separatamente ai pubblici incanti. Non è ammissibile, in mancanza d'una base legale, di addizionare i due prezzi d'aggiudicazione per stabilire l'imposta sulle transazioni immobiliari dovuta dall'aggiudicatario.</w:t>
      </w:r>
    </w:p>
    <w:p>
      <w:pPr>
        <w:pStyle w:val="Heading2"/>
      </w:pPr>
      <w:r>
        <w:t>Erwägungen</w:t>
      </w:r>
    </w:p>
    <w:p>
      <w:r>
        <w:rPr>
          <w:b/>
        </w:rPr>
        <w:t>E. 1</w:t>
      </w:r>
    </w:p>
    <w:p>
      <w:r>
        <w:t>(Prozessuales).</w:t>
      </w:r>
    </w:p>
    <w:p>
      <w:r>
        <w:rPr>
          <w:b/>
        </w:rPr>
        <w:t>E. 2</w:t>
      </w:r>
    </w:p>
    <w:p>
      <w:r>
        <w:t>Die Beschwerdeführerin hat an der konkursamtlichen Versteigerung dreier zur gleichen Konkursmasse gehörenden Liegenschaften auf zwei derselben am meisten geboten, worauf ihr diese zugeschlagen wurden. Für die Festsetzung der grundsätzlich auch beim Eigentumsübergang infolge Zwangsverwertung zu entrichtenden Handänderungsgebühr hat die Amtschreiberei gemäss ständiger Praxis die beiden Steigerungspreise zusammengerechnet und den Steuersatz auf Grund der Summe bestimmt. Da solche Zusammenrechnung den Steuerpflichtigen wegen des progressiven Steuersatzes stärker belastet, bedarf sie, wie jede Steuerauflage überhaupt, der gesetzlichen Grundlage. Das entspricht dem Wesen des Rechtsstaates und folgt aus dem auch in der solothurnischen Kantonsverfassung (Art. 62 Abs. 1) aufgestellten Grundsatz, dass die Bestimmungen über direkte Steuern und indirekte Abgaben "Sache der Gesetzgebung" sind, was bedeutet, dass Steuern und Abgaben nur bei Vorliegen der gesetzlichen Voraussetzungen und nur in dem vom Gesetz festgelegten Umfange erhoben werden dürfen (Vgl. BGE 33 I 390 Erw. 2; BLUMENSTEIN, Steuerrecht S. 15 und System 2. Aufl. S. 6 ff.): Nach § 1 des solothurnischen Handänderungsgebührengesetzes BGE 80 I 325 S. 328 ist beim Übergang von Grundstücken auf einen neuen Eigentümer eine Handänderungsgebühr vom wahren Werte des Grundstückes zu bezahlen. Dass bei gleichzeitigem Übergang mehrerer Grundstücke auf einen neuen Eigentümer allgemein oder unter gewissen Voraussetzungen die Werte der einzelnen Grundstücke zusammenzuzählen seien und die Summe derselben als Grundlage der Steuerberechnung zu gelten habe, sagt das Gesetz nicht; weder ist seinem Wortlaut zu entnehmen noch lässt sich aus dem Sinn und Zweck der Handänderungsgebühr als einer Rechtsverkehrssteuer ableiten, dass und unter welchen Voraussetzungen eine Zusammenrechnung der Erwerbspreise zulässig wäre. In gewissen Fällen mag es freilich nahe liegen, mehrere Handänderungen als eine Einheit zu behandeln und die Grundstückwerte zusammenzuzählen, so wenn ein und dasselbe Veräusserungsgeschäft verschiedene Grundstücke umfasst oder wenn auf Grund mehrerer gleichzeitiger Veräusserungsgeschäfte mehrere, eine wirtschaftliche Einheit bildende Grundstücke, wie z.B. der gesamte zu einem landwirtschaftlichen Heimwesen gehörende Liegenschaftsbesitz, auf einen neuen Eigentümer übergehen. Ob in diesen beiden Fällen die Zusammenrechnung der Grundstückwerte dem Vorwurfe der Willkür standhält, kann dahingestellt bleiben, da weder der eine noch der andere Fall vorliegt. Dass die zwei von der Beschwerdeführerin ersteigerten Liegenschaften unter sich wirtschaftlich nicht zusammenhängen, keine wirtschaftliche Einheit bilden, hat der Regierungsrat, offensichtlich mit Recht, ausdrücklich zugegeben. Seine Annahme aber, dass der Erwerb der beiden Liegenschaften durch die Beschwerdeführerin auf einer gemeinschaftlichen rechtsgeschäftlichen Grundlage beruhe, dem gleichen Rechtsgeschäft entspringe, erweist sich als schlechterdings unhaltbar. Die beiden Liegenschaften gehörten zwar zur gleichen Konkursmasse und kamen am gleichen Tage zur Versteigerung. Sie wurden jedoch nicht, wie es unter gewissen Voraussetzungen zulässig ist (vgl. Art. 108 VZG BGE 80 I 325 S. 329 undBGE 63 III 8), gesamthaft aufgerufen und zugeschlagen; vielmehr wurden sie getrennt versteigert, indem jede einzeln aufgerufen und auf das höchste Angebot hin einzeln zugeschlagen wurde. Ein sachlicher Grund, der es gestatten würde, diese getrennten Steigerungen und Zuschläge als einheitlichen Rechtsvorgang zu betrachten, ist nicht ersichtlich. Dass es sich, sowohl rechtlich wie wirtschaftlich betrachtet, um zwei getrennte, voneinander völlig unabhängige Rechtsvorgänge handelt, erhellt auch daraus, dass die Beschwerdeführerin einerseits ihre Angebote für die zuerst versteigerte Liegenschaft nicht davon abhängig machen konnte, dass ihr auch die zweite zugeschlagen werde, und anderseits, nachdem ihr die erste zugeschlagen war, die zweite nicht erhalten hätte, wenn bei deren Versteigerung ein anderer Bieter mehr als sie geboten hätte. Die Annahme eines einheitlichen Rechtsvorgangs lässt sich mit sachlichen Gründen nicht vertreten, sondern erfolgte offensichtlich aus rein fiskalischen Gründen, in Hinblick auf den im Falle der Zusammenrechnung der Steigerungspreise anwendbaren höheren Steuersatz, und muss deshalb als willkürlich bezeichnet werden. Dass sie einer langjährigen Praxis entspricht und diese Praxis bis jetzt noch nie angefochten worden ist, steht der Gutheissung der Beschwerde ebenso wenig entgegen wie der Umstand, dass die Änderung der Praxis für den Kanton Solothurn eine finanzielle Einbusse bedeutet. Sofern die Zusammenrechnung der Erwerbspreise in Fällen wie dem vorliegenden aus fiskalischen oder andern Gründen als angezeigt und wünschenswert erscheinen sollte, mag der solothurnische Gesetzgeber die gesetzliche Ordnung durch eine Bestimmung ergänzen, die eine solche Zusammenrechnung zulässt.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