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299</w:t>
      </w:r>
    </w:p>
    <w:p>
      <w:r>
        <w:t>Bundesgericht (BGE), 1954-05-28, FR</w:t>
      </w:r>
    </w:p>
    <w:p>
      <w:r>
        <w:rPr>
          <w:b/>
        </w:rPr>
        <w:t xml:space="preserve">Quelle: </w:t>
      </w:r>
      <w:r>
        <w:t>https://mcp.opencaselaw.ch/entscheid/bge_BGE_80_I_299</w:t>
      </w:r>
    </w:p>
    <w:p>
      <w:r>
        <w:t>FR: ATF 80 I 299</w:t>
      </w:r>
    </w:p>
    <w:p>
      <w:r>
        <w:t>IT: DTF 80 I 299</w:t>
      </w:r>
    </w:p>
    <w:p>
      <w:pPr>
        <w:pStyle w:val="Heading2"/>
      </w:pPr>
      <w:r>
        <w:t>Regeste</w:t>
      </w:r>
    </w:p>
    <w:p>
      <w:r>
        <w:t>Regeste 1. Milchverkaufsbewilligung (Art. 21 Milchstatut): Umfang der Prüfungsbefugnis. Inwieweit ist die Behörde an frühere, für die betreffende Milchverkaufsstelle erteilte Bewilligungen gebunden? 2. Art. 21, Abs. 2 Milchst.: Voraussetzungen für die Bewilligung eines Inhaberwechsels.</w:t>
      </w:r>
    </w:p>
    <w:p>
      <w:r>
        <w:t>Regeste 1. Art. 21 ASL. Autorisation de vente. Pouvoir d'examen de l'autorité. Dans quelle mesure est-elle liée par ses décisions antérieures ayant pour objet le même débit de lait? 2. Art. 21 al. 2 ASL. Conditions auxquelles l'autorisation doit être accordée en cas de reprise d'un débit de lait.</w:t>
      </w:r>
    </w:p>
    <w:p>
      <w:r>
        <w:t>Regesto 1. Art. 21 decreto federale sullo statuto del latte (DSL). Autorizzazione di vendita del latte. Sindacato dell'autorità. In quale misura è vincolata dalle sue precedenti decisioni concernenti il medesimo spaccio di latte? 2. Art. 21 cp. 2 DSL. Condizioni alle quali l'autorizzazione dev'essere accordata a colui che riprende uno spaccio di latte.</w:t>
      </w:r>
    </w:p>
    <w:p>
      <w:pPr>
        <w:pStyle w:val="Heading2"/>
      </w:pPr>
      <w:r>
        <w:t>Erwägungen</w:t>
      </w:r>
    </w:p>
    <w:p>
      <w:r>
        <w:rPr>
          <w:b/>
        </w:rPr>
        <w:t>E. 1</w:t>
      </w:r>
    </w:p>
    <w:p>
      <w:r>
        <w:t>à 3. - (Le Tribunal fédéral pose dans ces considérants les mêmes principes que dans les considérants 1 à 3 de l'arrêt Manini, publié ci-dessus sous no 47.)</w:t>
      </w:r>
    </w:p>
    <w:p>
      <w:r>
        <w:rPr>
          <w:b/>
        </w:rPr>
        <w:t>E. 4</w:t>
      </w:r>
    </w:p>
    <w:p>
      <w:r>
        <w:t>L'art. 21 al. 1 ASL fixe les cas dans lesquels la vente de lait de consommation à titre professionnel est subordonnée à la délivrance d'une autorisation; il doit s'agir de "l'ouverture ou du transfert d'un débit ou de succursales, d'une reprise, d'une location, d'un affermage, de la vente au détail par le producteur, ou encore de l'approvisionnement d'entreprises artisanales appartenant à ce dernier". Ainsi, au cours des années, un même débit de lait peut devoir faire l'objet de plusieurs autorisations, tout d'abord au moment où il est ouvert puis, par exemple, lorsqu'il est transféré en un autre endroit ou repris par un tiers. Ces autorisations ne valent qu'autant que ne survient pas un fait nouveau, tels que le transfert du débit ou sa reprise. Sans doute constituent-elles jusque-là une décision administrative ayant force de chose jugée, en ce sens qu'hormis le cas de revision, elles ne peuvent être remises en question; en revanche, dès que se produit l'un des évéments expressément mentionnés par la loi, l'autorité doit prendre une nouvelle décision. Elle n'est alors plus liée par ses prononcés précédents, puisqu'il n'y a plus autorité de la chose jugée. Elle n'est pas tenue par son appréciation antérieure ni par les motifs qui l'y ont conduit. Elle examine librement si les conditions prévues par la loi sont remplies. En cas de reprise d'un débit de lait, ces conditions sont fixées par l'art. 21 al. 2 ASL. L'autorisation doit être accordée si elle répond à un besoin des consommateurs et que son usage ne risque pas d'empêcher la distribution rationnelle et économique du lait. Si ces conditions ne sont pas réunies, l'autorisation doit néanmoins être accordée BGE 80 I 299 S. 303 lorsqu'il s'agit de maintenir une entreprise dans la famille d'un commerçant qui se retire ou que les groupements intéressés n'offrent pas une indemnité équitable pour le rachat de la clientèle.</w:t>
      </w:r>
    </w:p>
    <w:p>
      <w:r>
        <w:rPr>
          <w:b/>
        </w:rPr>
        <w:t>E. 5</w:t>
      </w:r>
    </w:p>
    <w:p>
      <w:r>
        <w:t>En l'espèce, il résulte de la décision attaquée que le recourant, comme ses prédécesseurs, écoulait environ soixante-dix litres de lait par jour. Sur cette quantité, il ne vendait qu'une douzaine de litres dans son magasin, ce qui signifie que la grande majorité de ses clients pouvait se contenter des livraisons de lait à domicile. Or ces livraisons peuvent être facilement assurées par un autre laitier dont le commerce se trouve à quelque cinq cents mètres à vol d'oiseau du débit du recourant. Il y a d'ailleurs, à la même distance, une seconde laiterie et une troisième à sept cents mètres à peu près. Enfin, la densité de la population résidant dans ce quartier est faible. Ces considérations de fait, qui sont pertinentes, démontrent qu'il n'y a pas un besoin réel des consommateurs et que le maintien de ce débit serait manifestement une entrave à la distribution rationnelle et économique du lait. De plus, il ne s'agit pas de maintenir une entreprise dans la famille d'un commerçant qui se retire. Quant à l'indemnité équitable, elle est offerte. Il découle en effet d'une enquête complémentaire à laquelle le Tribunal fédéral a procédé, que le Fonds d'assainissement laitier de Lausanne et environs propose au recourant une somme de 40 fr. "pour un litre de lait vendu par jour moyen", calculée sur la base d'un montant de "4 centimes par litre-jour pendant trois ans". Considérant que le recourant vendait en moyenne 76 litres par jour, il lui offre une indemnité de 3040 fr. Le Département fédéral de l'économie publique estime que cette indemnité est équitable et correspond aux normes posées par les art. 21 al. 2 et 23 ASL. Il n'y a pas lieu de s'écarter de cette manière de voir dans le cas particulier. Ainsi, les conditions auxquelles l'autorisation doit être accordée n'étaient pas réunies en l'espèce. A la requête BGE 80 I 299 S. 304 présentée par le recourant, le Département pouvait donc opposer un refus, sans encourir le reproche d'avoir violé le droit fédéral. Le recourant ne saurait faire valoir que, précédemment, l'autorité a accordé l'autorisation et qu'en la refusant aujourd'hui, elle le dépouille d'une valeur économique qu'il a payée et qu'il ne peut revendre sans perte. En effet, il envisage de remettre son débit. Or c'est là précisément un des faits nouveaux que prévoit la loi et à l'occasion duquel l'autorité examine librement et sans être liée par ses décisions antérieures si les conditions légales sont réunies. Pour les mêmes raisons, le recourant ne peut soutenir que jusqu'à maintenant, l'autorité a admis l'existence d'un besoin et que, les circonstances étant demeurées les mêmes, il est arbitraire de le nier actuellement. Enfin, le recourant n'est pas recevable à faire valoir qu'il est contraint de remettre son commerce par suite de la maladie dont il a souffert, c'est-à-dire pour des raisons de force majeure, alors que, sans ces circonstances, il aurait continué à l'exploiter lui-même au bénéfice de l'autorisation qu'il avait et qui n'aurait pu lui être retirée. En effet, l'art. 21 ASL ne permet pas de tenir compte de faits de cette nature, de telle sorte qu'il n'y a pas violation de la loi sur ce point et que le Tribunal fédéral n'a pas à intervenir (art. 104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