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276</w:t>
      </w:r>
    </w:p>
    <w:p>
      <w:r>
        <w:t>Bundesgericht (BGE), 1954-01-01, FR</w:t>
      </w:r>
    </w:p>
    <w:p>
      <w:r>
        <w:rPr>
          <w:b/>
        </w:rPr>
        <w:t xml:space="preserve">Quelle: </w:t>
      </w:r>
      <w:r>
        <w:t>https://mcp.opencaselaw.ch/entscheid/bge_BGE_80_I_276</w:t>
      </w:r>
    </w:p>
    <w:p>
      <w:r>
        <w:t>FR: ATF 80 I 276</w:t>
      </w:r>
    </w:p>
    <w:p>
      <w:r>
        <w:t>IT: DTF 80 I 276</w:t>
      </w:r>
    </w:p>
    <w:p>
      <w:pPr>
        <w:pStyle w:val="Heading2"/>
      </w:pPr>
      <w:r>
        <w:t>Regeste</w:t>
      </w:r>
    </w:p>
    <w:p>
      <w:r>
        <w:t>Regeste Art. 3 und Art. 4, Abs. 1 und 2 UB. Zwei Unternehmungen übernehmen je einen Teil einer dritten Unternehmung, wobei die Übernahme bei der einen der Firmen zu einer Umgestaltung, bei der andern zu einer Vermehrung der Arbeiterzahl führt (Erw. 1). - Wenn die Bewilligung für eine Umgestaltung nachgesucht wird, ohne dass die Voraussetzungen von Art. 4, Abs. 1, lit. b und c UB zutreffen, so kommt grundsätzlich nur Art. 4, Abs. 2 UB zur Anwendung (Erw. 2 a). - Voraussetzungen für die Bewilligungen nach Art. 4, Abs. 2 UB (Erw. 2, lit. b, c und d). - Festsetzung der Arbeiterzahl bei einer Geschäftsübernahme (Erw. 4).</w:t>
      </w:r>
    </w:p>
    <w:p>
      <w:r>
        <w:t>Regeste Art. 3 et 4 al. 1 et 2 AIH. Cas où, deux entreprises ayant repris chacune partiellement l'exploitation d'une troisième, l'opération comporte, pour l'une des entreprises cessionnaires, une transformation et, pour l'autre, une augmentation du nombre des ouvriers (consid. 1). - Lorsque la transformation est requise sans que l'on se trouve dans aucun des cas visés par les lit. b et c de l'art. 4 al. 1, seul l'art. 4 al. 2 s'applique en principe (consid. 2 lit. a). - Conditions requises pour que l'autorisation puisse être accordée de par l'art. 4 al. 2 (consid. 2 lit. b, c et d). - Fixation du nombre des ouvriers sur lequel porte la cession (consid. 4).</w:t>
      </w:r>
    </w:p>
    <w:p>
      <w:r>
        <w:t>Regesto Art. 3 e 4 cp. 1 e 2 DISO. Caso in cui due aziende riprendono, ciascuna parzialmente, l'esercizio d'una terza azienda, e l'operazione comporta, per la prima, una trasformazione e, per la seconda, un aumento del numero degli operai (consid. 1). - Ove la trasformazione sia richiesta senza che ricorrano i presupposti di cui alle lettere b-c dell'art. 4 cp. 1, torna applicabile in massima solo l'art. 4 cp. 2 (consid. 2 a). - Requisiti per il rilascio del permesso a stregua dell'art. 4 cp. 2 (consid. 2 b-c-d). - Determinazione del numero degli operai in caso di ripresa d'azienda (consid. 4).</w:t>
      </w:r>
    </w:p>
    <w:p>
      <w:pPr>
        <w:pStyle w:val="Heading2"/>
      </w:pPr>
      <w:r>
        <w:t>Erwägungen</w:t>
      </w:r>
    </w:p>
    <w:p>
      <w:r>
        <w:rPr>
          <w:b/>
        </w:rPr>
        <w:t>E. 1</w:t>
      </w:r>
    </w:p>
    <w:p>
      <w:r>
        <w:t>L'arrêté du 22 juin 1951 prévoit un seul cas où la reprise d'une entreprise horlogère n'est pas subordonnée à un permis. C'est la reprise "avec l'actif et le passif" (art. 3 al. 1 dernière phrase AIH), c'est-à-dire le cas où l'entreprise est transférée dans son ensemble et intégralement au nouvel acquéreur (RO 80 I 221, consid. 3). Il n'en est pas ainsi dans la présente espèce, où il n'y a que reprise partielle d'une entreprise. Au surplus, cette reprise n'a même pas eu lieu avec l'actif et le passif: dans une lettre du 17 septembre 1953, adressée au Département, la maison Golay-Buchel affirme elle-même que Flury conservait ses débiteurs et son passif; de plus, dans sa réponse au recours de la Chambre suisse de l'horlogerie, elle mentionne encore qu'elle n'avait repris aucun article du passif et que Flury avait conservé pour l'encaisser lui-même une partie de son actif. Les cessions litigieuses étaient donc soumises à un permis. La cession de Flury à la maison Golay-Buchel apparaît comme une transformation de cette dernière entreprise par adjonction d'une branche de fabrication à une autre (art. 3 al 2 AIH), opération subordonnée à un permis par l'art. 3 al. 1 AIH et soumise aux conditions des art. 4 al. 1 lit. c et 4 al. 2 AIH. Car la maison Golay-Buchel, qui, dans le cadre du statut horloger, pratiquait jusqu'ici uniquement la fabrication de pierres, veut y adjoindre dorénavant la fabrication de certaines fournitures, c'est-à-dire une activité appartenant à une branche différente. Quant à la cession de Flury à la maison Fiedler, elle n'entraîne pas la transformation de cette entreprise, mais l'augmentation du nombre de ses ouvriers. Elle est soumise à autorisation par l'art. 3 al. 1 AIH et doit satisfaire aux exigences de l'art. 4 al. 1 lit. d AIH. Dans la décision attaquée, le Département a cru pouvoir appliquer des règles spéciales, s'agissant d'un cas de cession partielle, c'est-à-dire d'un cas où, comme dans celui BGE 80 I 276 S. 282 que vise la dernière phrase de l'art. 3 al. 1 AIH, il n'y avait pas augmentation de l'appareil de production. Cette idée est erronée et ne trouve aucun fondement dans la loi. Celle-ci n'a pas pour but de maintenir en tout cas les exploitations existantes et d'en assurer nécessairement la reprise lorsque leurs titulaires se retirent. Elle tend au contraire à permettre la création d'entreprises nouvelles dans toute la mesure du possible. Il n'y a donc pas de raison, en l'espèce, de ne pas appliquer les al. 1 et 2 de l'art. 4 AIH. Pour l'application de l'al. 2, le fait que l'appareil de production n'est pas augmenté pourra être retenu comme circonstance favorable à l'autorisation; encore faudra-t-il que les autres conditions, définies par la pratique et la jurisprudence dans le cadre légal, soient réalisées.</w:t>
      </w:r>
    </w:p>
    <w:p>
      <w:r>
        <w:rPr>
          <w:b/>
        </w:rPr>
        <w:t>E. 2</w:t>
      </w:r>
    </w:p>
    <w:p>
      <w:r>
        <w:t>a) Touchant la transformation projetée par la maison Golay-Buchel, il faut rechercher tout d'abord si l'autorisation doit être accordée en vertu de l'art. 4 al. 1 AIH. Sous réserve des "importants intérêts" de l'industrie horlogère, cette disposition légale autorise la transformation dans deux cas exclusivement: celui où le requérant veut exploiter une invention brevetée, un nouveau procédé de fabrication ou une amélioration technique (lit. b) et celui où, en raison de changements qui se sont produits dans la fabrication ou sur le marché de la montre, la transformation dont il s'agit est nécessaire pour que l'entreprise demeure viable (lit. c). Ce sont là deux cas où la tendance générale au maintien des entrepreneurs dans leur branche, tendance propre à l'arrêté du 22 juin 1951, est tempérée par des dispositions expresses. Manifestement, aucun de ces deux cas n'est donné dans la présente espèce, de sorte que la maison Golay-Buchel ne peut se réclamer de l'al. 1, mais tout au plus, de l'al. 2 de l'art. 4 AIH (arrêt Charbonney du 26 mars 1954, non publié). b) L'art. 4 al. 2 AIH prévoit que l'autorisation pourra être accordée dans d'autres cas encore que ceux de l'art. 4 al. 1, c'est-à-dire même si le requérant ne satisfait pas à BGE 80 I 276 S. 283 toutes les conditions que pose cet article. Mais il faudra toujours que la bonne marche de l'entreprise apparaisse assurée. En outre, l'autorisation devra être justifiée par des circonstances spéciales, qu'il appartient à la pratique et à la jurisprudence de définir (RO 78 I 469, no 69 ; 79 I 308 , consid. 4; 317; 385). S'agissant d'un cas de transformation, il faudra notamment que des circonstances spéciales justifient suffisamment le passage à une autre branche ou l'adjonction d'une branche à une autre en dehors des cas où les lit. b et c de l'art. 4 AIH l'autorisent expressément. c) La bonne marche de l'entreprise sera assurée si le requérant possède des capacités techniques et commerciales suffisantes ou si, à défaut de connaissances ou d'expériences suffisantes sur l'un de ces points, des circonstances spéciales permettent d'accorder néanmoins l'autorisation. En l'espèce, les titulaires de la maison Golay-Buchel possèdent incontestablement des capacités commerciales suffisantes pour assurer la bonne marche de l'entreprise. Le Département estime en outre qu'ils donneraient, par leur activité antérieure, toute garantie en ce qui concerne la qualité, c'est-à-dire touchant les problèmes techniques de la fabrication. Ce point, cependant, n'a fait l'objet d'aucune instruction quelconque. Il n'apparaît pas que la maison ait jamais encore pratiqué la fabrication qu'elle désire entreprendre et l'on ne sait si l'un des associés au moins possède les connaissances techniques nécessaires'ni si quelque autre circonstance permettrait d'admettre qu'une lacune éventuelle sur ce point serait comblée (cf. arrêt Jacot, du 26 juin 1953, consid. 3, non publié). A cet égard, le Tribunal fédéral a toujours jugé qu'en tout cas l'engagement d'un tiers par un simple contrat de travail, qui n'offrirait pas des garanties satisfaisantes du point de vue de la durée notamment, ne saurait suffire en général (arrêts Froidevaux, du 27 mars 1953; Marchand, du 11 juin 1953; Bolli, du 5 décembre 1952; Thiébaud, du 5 décembre 1952). Quoi qu'il en soit, la question n'a pas été suffisamment BGE 80 I 276 S. 284 éclaircie. Il est nécessaire, dès lors, de renvoyer l'affaire au Département pour compléter l'instruction sur ce point. d) La question de la bonne marche de l'entreprise étant tranchée et supposé qu'elle le soit dans le sens affirmatif, il restera à examiner s'il existe en l'espèce des circonstances spéciales justifiant l'autorisation exceptionnelle par dérogation à l'art. 4 al. 1 lit. b et c. A ce titre, le Département allègue tout d'abord qu'il s'agit d'une transformation pour la reprise partielle d'une exploitation existante avec le même nombre d'ouvriers, de sorte qu'il n'y aura aucune augmentation de l'appareil de production. Cette circonstance peut être prise en considération du point de vue des intérêts prépondérants de l'industrie horlogère dans son ensemble (préambule à l'art. 4 al. 2), car une augmentation inconsidérée de l'appareil de production peut léser ces intérêts (arrêt Chambre suisse de l'horlogerie c. Zumsteg et Parel, du 11 juin 1953, non publié, consid. 3). Mais le simple fait qu'il n'y aura pas augmentation de l'appareil de production n'est en tout cas pas suffisant pour justifier que l'on permette à un entrepreneur de sortir de sa branche; cette circonstance pourrait aussi bien être invoquée dans le cas où la reprise partielle serait faite par une exploitation de la même branche ou par un entrepreneur qui n'appartiendrait pas encore à l'industrie horlogère; elle ne saurait donc conférer aucun avantage à l'entrepreneur d'une autre branche. Le Département allègue encore, dans le cadre de l'art. 4 al. 2, que la maison Golay-Buchel est déjà introduite, bien qu'à titre de commerçante seulement, dans la nouvelle branche qu'elle désire entreprendre. Il en conclut que la reprise projetée apportera un complément normal à l'exploitation. Il peut certes paraître souhaitable à la maison Golay-Buchel de s'adjoindre la fabrication d'articles dont elle fait déjà le commerce et cette dernière circonstance permet d'admettre qu'elle possède les connaissances et l'expérience commerciales voulues pour entreprendre la BGE 80 I 276 S. 285 fabrication projetée. Mais il n'en reste pas moins que le commerce et la fabrication sont deux choses entièrement différentes et que, vu les motifs donnés ci-dessus, la pratique du commerce dans une branche donnée ne peut servir à justifier exceptionnellement le passage à la fabrication correspondante. Enfin, il est vrai, comme le Département l'allègue, que Flury ne ferait que mettre la maison Golay-Buchel au bénéfice de la situation exceptionnelle où il se trouvait lui-même, pratiquant à la fois le commerce et la fabrication de fournitures pour l'horlogerie. Mais ce n'est pas là une circonstance spéciale justifiant l'autorisation. De telles circonstances ne peuvent exister que dans l'entreprise elle-même qui doit bénéficier de l'autorisation et il ne suffit pas que le cédant soit dans une situation exceptionnelle pour que le cessionnaire puisse la revendiquer au même titre. Le Département tiendra compte de ces divers points dans le nouvel examen qu'il fera de la requête de la maison Golay-Buchel.</w:t>
      </w:r>
    </w:p>
    <w:p>
      <w:r>
        <w:rPr>
          <w:b/>
        </w:rPr>
        <w:t>E. 3</w:t>
      </w:r>
    </w:p>
    <w:p>
      <w:r>
        <w:t>L'augmentation du nombre de ses ouvriers réalisée par la cession de Flury à Fiedler n'est pas contestée dans son principe, de sorte que le Tribunal fédéral n'a pas à revoir, sur ce point, la décision attaquée.</w:t>
      </w:r>
    </w:p>
    <w:p>
      <w:r>
        <w:rPr>
          <w:b/>
        </w:rPr>
        <w:t>E. 4</w:t>
      </w:r>
    </w:p>
    <w:p>
      <w:r>
        <w:t>a) Quant au nombre supplémentaire d'ouvriers dont la cession autorisée fait bénéficier l'entreprise Fiedler, la décision attaquée l'a fixé à 26. Flury et Fiedler attaquent la décision sur ce point et demandent que la cession porte sur 50 ouvriers. Le Tribunal fédéral doit donc examiner si cette augmentation se justifie. Pour la cession de Flury à la maison Golay-Buchel, avec transformation de cette dernière entreprise, la décision attaquée avait fixé le nombre d'ouvriers à 16. L'autorisation étant attaquée dans son principe même par la Chambre suisse de l'horlogerie, rien n'empêche le Tribunal fédéral d'examiner également si le nombre ainsi fixé se justifie. Il le fait en vue du cas où le Département accorderait à nouveau à la maison Golay-Buchel l'autorisation de BGE 80 I 276 S. 286 reprendre de Flury la fabrication des fournitures d'horlogerie. b) Le Département n'a entendu accorder, soit à Fiedler, soit à la maison Golay-Buchel, que le nombre d'ouvriers que Flury occupait, lors de la reprise, aux fabrications cédées. Cela se justifiait en ce qui concerne l'augmentation du nombre des ouvriers par la cession de Flury à Fiedler. Car l'art. 4 al. 1 lit. d AIH autorise l'augmentation lorsque le requérant prouve "qu'il est en mesure de procurer à ce personnel supplémentaire une occupation de longue durée", Or, dans un cas où, comme en l'espèce, la cession comporte reprise de la clientèle, il est clair que, par la reprise, l'acquéreur assure à son nouveau personnel une occupation de longue durée. L'application de la même règle se justifierait également pour déterminer le nombre d'ouvriers auquel aurait droit la maison Golay-Buchel dans le cas où l'autorisation lui serait accordée de transformer son entreprise en reprenant une partie de celle de Flury. Dans l'un comme dans l'autre cas, ce sera donc le nombre d'ouvriers occupés, par Flury, au moment du transfert dans la branche de fabrication cédée qui entrera en ligne de compte, c'est-à-dire l'effectif occupé par Flury pendant la dernière ou les deux dernières années. Dans la décision attaquée, le Département avait admis les indications données par Flury lui-même, qui affirmait avoir occupé en 1952-1953 42 ouvriers en tout, dont 26 à la fabrication des aiguilles de montres et 16 à la fabrication des fournitures pour l'horlogerie. L'attribution avait été faite sur cette base. Cependant, il résulte des nouveaux renseignements obtenus de Flury au cours de l'instruction de la cause devant le Tribunal fédéral que, pendant les années 1952-1953, Flury a occupé 25 ouvriers et non pas 26 à la fabrication des aiguilles de montres et 6 ouvriers et non pas 16 à la fabrication des fournitures pour l'horlogerie, soit un total de 31 ouvriers au lieu de 42. Ces chiffres n'ont pas été contestés dans la présente instance. Aussi le Département a-t-il proposé au Tribunal fédéral de BGE 80 I 276 S. 287 modifier dans ce sens l'attribution faite dans la décision attaquée et d'accorder 25 ouvriers au lieu de 26 à Fiedler pour la fabrication des aiguilles de montres et 6 ouvriers au lieu de 16 à la maison Golay-Buchel pour la fabrication des fournitures d'horlogerie. Cette proposition se justifie en principe. c) Il suit de là que l'effectif accordé à Fiedler devrait être, non pas augmenté de 26 à 50, comme Fiedler lui-même et Flury le demandent, mais au contraire réduit d'une unité. L'augmentation requise à concurrence de 50 unités doit donc en tout cas être refusée. Mais la réduction à 25 unités, qui se justifierait en principe, ne saurait être prononcée, car, selon la première phrase de l'art. 109 al. 1 OJ, le Tribunal fédéral ne peut aller au-delà des conclusions des parties. Il ne saurait donc, en l'absence d'un recours de la Chambre suisse de l'horlogerie sur ce point, diminuer le nombre d'ouvriers que Flury a été autorisé à céder à Fiedler, alors que ces deux personnes concluaient, au contraire, à l'augmentation de ce nombre. Dans la mesure, cependant, où Fiedler estimerait être à même d'assurer une occupation de longue durée à un effectif plus considérable, il lui serait loisible de former une nouvelle demande d'augmentation du nombre de ses ouvriers, qui pourrait être examinée dans le cadre de l'art. 4 AIH. d) Quant à l'effectif supplémentaire dont bénéficierait la maison Golay-Buchel, l'autorisation étant attaquée dans son principe même, il pourrait être fixé à nouveau et réduit dans le cas où le Département accorderait derechef l'autorisation requise (supra, ch. 2). Sous réserve des éléments de fait nouveaux que ferait apparaître le complément d'instruction indispensable, il serait alors fixé à 6 ouvriers.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