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80 I 272</w:t>
      </w:r>
    </w:p>
    <w:p>
      <w:r>
        <w:t>Bundesgericht (BGE), 1954-01-01, DE</w:t>
      </w:r>
    </w:p>
    <w:p>
      <w:r>
        <w:rPr>
          <w:b/>
        </w:rPr>
        <w:t xml:space="preserve">Quelle: </w:t>
      </w:r>
      <w:r>
        <w:t>https://mcp.opencaselaw.ch/entscheid/bge_BGE_80_I_272</w:t>
      </w:r>
    </w:p>
    <w:p>
      <w:r>
        <w:t>FR: ATF 80 I 272</w:t>
      </w:r>
    </w:p>
    <w:p>
      <w:r>
        <w:t>IT: DTF 80 I 272</w:t>
      </w:r>
    </w:p>
    <w:p>
      <w:pPr>
        <w:pStyle w:val="Heading2"/>
      </w:pPr>
      <w:r>
        <w:t>Regeste</w:t>
      </w:r>
    </w:p>
    <w:p>
      <w:r>
        <w:t>Regeste Art. 554 und 937 OR, 59 Abs. 1 HRegV. Schrittweise Bereinigung des Handelsregister-Eintrages einer Kollektivgesellschaft bei Ausscheiden eines Gesellschafters durch Tod und Streit über die Nachfolgerechte.</w:t>
      </w:r>
    </w:p>
    <w:p>
      <w:r>
        <w:t>Regeste Art. 554 et 937 CO, 59 al. 1 ORC. Société en nom collectif. Lorsqu'un des associés décède et que l'hérédité est litigieuse, l'inscription de la société au registre du commerce peut faire l'objet de modifications successives.</w:t>
      </w:r>
    </w:p>
    <w:p>
      <w:r>
        <w:t>Regesto Art. 554 e 937 CO, 59 cp. 1 ORC. Società in nome collettivo. In caso di decesso d'un socio e di eredità litigiosa, l'iscrizione della società nel registro di commercio può fare l'oggetto di modificazioni successive.</w:t>
      </w:r>
    </w:p>
    <w:p>
      <w:pPr>
        <w:pStyle w:val="Heading2"/>
      </w:pPr>
      <w:r>
        <w:t>Erwägungen</w:t>
      </w:r>
    </w:p>
    <w:p>
      <w:r>
        <w:rPr>
          <w:b/>
        </w:rPr>
        <w:t>E. 1</w:t>
      </w:r>
    </w:p>
    <w:p>
      <w:r>
        <w:t>Laut Art. 20 HRegV in Verbindung mit Art. 554 OR hat die Eintragung einer Kollektivgesellschaft im Handelsregister u.a. den Namen, den Wohnort und die Staatszugehörigkeit jedes Gesellschafters zu enthalten. Das ist schon darum geboten, weil das Handelsregister die Klarlegung der Haftungsverhältnisse zumindest mitbezweckt (vgl. Art. 110-112 HRegV über die Vormerkung des ehelichen Güterstandes). Ist aber eine Tatsache im Register eingetragen, so muss auch jede Änderung dieser Tatsache eingetragen werden. So bestimmt ausdrücklich Art. 937 OR . Die HRegV wiederholt den Grundsatz in Art. 59 Abs. 1 und ordnet anschliessend das zu seiner Durchsetzung dienende Verfahren. Die Eintragung des Ausscheidens eines gestorbenen Gesellschafters ist somit, auch abgesehen von dem durch das Eidg. Justizdepartement herangezogenen Art. 38 HRegV , von Gesetzes wegen unumgänglich.</w:t>
      </w:r>
    </w:p>
    <w:p>
      <w:r>
        <w:rPr>
          <w:b/>
        </w:rPr>
        <w:t>E. 2</w:t>
      </w:r>
    </w:p>
    <w:p>
      <w:r>
        <w:t>Eine bezügliche und ihr als Erbin obliegende Meldepflicht (vgl. Art. 24 HRegV und 938 OR) bestreitet die Beschwerdeführerin an sich nicht. Was sie erreichen will, ist die Rückstellung der Registeränderung bis zur Klärung ihrer Nachfolgerechte. Nun trifft zwar zu, dass das Handelsregister unvollständigen Aufschluss über die wirklichen Verhältnisse vermittelt, wenn beim Tode eines Gesellschafters zunächst lediglich sein Ausscheiden und nicht auch der Eintritt eines ihn ersetzenden Erben eingetragen wird. Solange die Rechtsstellung eines Erben in der Kollektivgesellschaft und überhaupt dessen Beziehung zu ihr ungewiss sind, ergibt sich ein Schwebezustand. Im Hinblick darauf schlägt gegenüber den Beschwerdevorbringen die Berufung auf das in Art. 38 HRegV niedergelegte sogenannte Wahrheitsprinzip nicht schlechtweg durch. Indessen fragt sich, ob das BGE 80 I 272 S. 275 Gesetz jenen Schwebezustand besonders berücksichtige. Das ist nach dem vorstehend Dargelegten zu verneinen. Das Ausscheiden eines Gesellschafters durch Tod und der Eintritt des Erben für ihn hängen wohl unter sich als Ursache und Wirkung zusammen, sind jedoch nichtsdestoweniger Tatsachen eigener Art und als solche getrennter Eintragung fähig. Ein gesetzlicher Zwang zu gemeinsamer Aufnahme ins Register besteht nicht. Entgegen der Beschwerdebehauptung wird durch die Eintragung des Ausscheidens eines Gesellschafters wegen Ablebens über die künftige Gestaltung der Gesellschaft und die Stellung des Erben nichts ausgesagt noch diese präjudiziert. Die Tatsachenänderung, welche der Tod eines Gesellschafters in Hinsicht auf die persönliche Zusammensetzung der Gesellschaft mit sich bringt, muss jedenfalls eingetragen werden. Insoweit droht keine Notwendigkeit zu nachträglicher Berichtigung. Bliebe aber der verstorbene Gesellschafter bis zur Erledigung einer hängigen Auseinandersetzung über die Erbnachfolge eingetragen, so gäbe das Register nicht bloss ein unvollständiges, sondern ein falsches Bild der Verhältnisse, und das in einem Belange, der jeglicher Unsicherheit entrückt ist. Die schrittweise Bereinigung des Registers in der Weise, dass das Ausscheiden eines verstorbenen Gesellschafters vorweg und der Eintritt des Erben - die von ihm gesuchte Zubilligung des Nachfolgerechts vorausgesetzt - später eingetragen werden, ist nach Massgabe der anwendbaren Vorschriften zulässig und deckt sich übrigens mit der alten Praxis (vgl. SJZ 14 S. 159 Nr. 123 und HARTMANN, Kommentar zu Art. 556 OR N. 3). Eine im Wege der Rechtsprechung auszufüllende Gesetzeslücke ist nicht vorhanden. Die Übergangslösung, welche § 139 des deutschen HGB durch kurzfristige Beibehaltung des unveränderten Registereintrages gestattet (vgl. COHN, Handelsregister und Genossenschaftsregister, 3. Aufl., S. 212; STAUB-PINNER, 12. und 13. Aufl., Kommentar zu § 139 HGB N. 25 und 26), kennt das schweizerische Recht nicht.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