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254</w:t>
      </w:r>
    </w:p>
    <w:p>
      <w:r>
        <w:t>Bundesgericht (BGE), 1954-07-14, DE</w:t>
      </w:r>
    </w:p>
    <w:p>
      <w:r>
        <w:rPr>
          <w:b/>
        </w:rPr>
        <w:t xml:space="preserve">Quelle: </w:t>
      </w:r>
      <w:r>
        <w:t>https://mcp.opencaselaw.ch/entscheid/bge_BGE_80_I_254</w:t>
      </w:r>
    </w:p>
    <w:p>
      <w:r>
        <w:t>FR: ATF 80 I 254</w:t>
      </w:r>
    </w:p>
    <w:p>
      <w:r>
        <w:t>IT: DTF 80 I 254</w:t>
      </w:r>
    </w:p>
    <w:p>
      <w:pPr>
        <w:pStyle w:val="Heading2"/>
      </w:pPr>
      <w:r>
        <w:t>Regeste</w:t>
      </w:r>
    </w:p>
    <w:p>
      <w:r>
        <w:t>Regeste Kompetenzkonflikt nach Art. 223 MStG: Der Angeschuldigte ist legitimiert, den virtuellen Konflikt vor Bundesgericht zu bringen. Wird er von den bürgerlichen Behörden verfolgt, so steht ihm das Beschwerderecht solange zu, als er nicht durch sein Verhalten klar zum Ausdruck gebracht hat, dass er sich der ordentlichen Gerichtsbarkeit unterwerfe.</w:t>
      </w:r>
    </w:p>
    <w:p>
      <w:r>
        <w:t>Regeste Conflit de compétence selon l'art. 223 CPM: L'accusé a qualité pour porter le conflit virtuel devant le Tribunal fédéral. S'il est poursuivi par les autorités civiles, le droit de recours lui appartient aussi longtemps qu'il n'a pas manifesté clairement par son attitude qu'il se soumettait à la juridiction ordinaire.</w:t>
      </w:r>
    </w:p>
    <w:p>
      <w:r>
        <w:t>Regesto Conflitto di competenza secondo l'art. 223 CPM: L'accusato ha veste per sottoporre il conflitto virtuale al Tribunale federale. Qualora sia perseguito dalle autorità civili, tale diritto gli spetta fintantochè non abbia chiaramente dimostrato col suo atteggiamento di sottomettersi alla giurisdizione ordinaria.</w:t>
      </w:r>
    </w:p>
    <w:p>
      <w:pPr>
        <w:pStyle w:val="Heading2"/>
      </w:pPr>
      <w:r>
        <w:t>Erwägungen</w:t>
      </w:r>
    </w:p>
    <w:p>
      <w:r>
        <w:rPr>
          <w:b/>
        </w:rPr>
        <w:t>E. 1</w:t>
      </w:r>
    </w:p>
    <w:p>
      <w:r>
        <w:t>Es liegt kein aktueller (sei es positiver oder negativer) Kompetenzkonflikt zwischen militärischer und bürgerlicher Gerichtsbarkeit vor; denn die Zuständigkeit wird wohl von den bürgerlichen, nicht aber von den militärischen Behörden in Anspruch genommen. Mit der Verfügung vom 1. Dezember 1953, durch die das eidg. Militärdepartement entgegen den Anträgen der aargauischen Staatsanwaltschaft und des Oberauditors der Armee die Beurteilung des Beschwerdeführers ausschliesslich dem bürgerlichen Richter übertragen hat, haben sich alle beteiligten Behörden abgefunden. Zwar beantragt der Oberauditor heute Gutheissung der Beschwerde des Angeschuldigten; doch erhebt er nicht etwa seinerseits den Kompetenzkonflikt nach Art. 223 MStG . Zu den Anständen über die Zuständigkeit der militärischen und bürgerlichen Gerichtsbarkeit im Sinne dieser Bestimmung gehört indessen nach ständiger Praxis auch der sog. virtuelle Kompetenzkonflikt, d.h. der Fall, wo zwischen den beidseitigen Behörden kein Streit über die Zuständigkeit besteht, wo aber der Angeschuldigte geltend macht, in Wahrheit sei nicht die gegen ihn vorgehende, sondern die andere Behörde zuständig; deshalb hat das Bundesgericht, wie schon der Bundesrat unter der Herrschaft BGE 80 I 254 S. 257 des Art. 8 MStGO, in solchen Fällen dem Angeschuldigten das Beschwerderecht zuerkannt ( BGE 66 I 161 undBGE 61 I 119ff., insbesondere 123/124; vgl. auch KIRCHHOFER, Der Kompetenzkonflikt im Verhältnis der militärischen und der bürgerlichen Gerichtsbarkeit, in Schweiz. Zeitschrift für Strafrecht, Jg. 46, S. 1 ff., namentlich 7, 17 und 29). Die Erhebung der Kompetenzkonfliktsbeschwerde durch den Angeschuldigten ist aber an zeitliche Schranken gebunden, und er kann das Recht dazu durch sein Verhalten verwirken. Für den Fall, wo er durch die Militärbehörden verfolgt wird, hat das Bundesgericht mit Rücksicht auf die Raschheit des militärgerichtlichen Verfahrens erkannt, dass er den Kompetenzkonflikt nur bis zur Hauptverhandlung erheben kann ( BGE 66 I 62 ). Wird er dagegen von den bürgerlichen Behörden verfolgt, so steht ihm nach der Rechtsprechung das Beschwerderecht solange zu, als er nicht durch sein Verhalten klar zum Ausdruck gebracht hat, dass er sich der ordentlichen Gerichtsbarkeit unterwerfe ( BGE 63 I 184 ; ebenso KIRCHHOFER, a.a.O., S. 38/39).</w:t>
      </w:r>
    </w:p>
    <w:p>
      <w:r>
        <w:rPr>
          <w:b/>
        </w:rPr>
        <w:t>E. 2</w:t>
      </w:r>
    </w:p>
    <w:p>
      <w:r>
        <w:t>X. hat die Zuständigkeit der bürgerlichen Gerichte während des ganzen vor dem Bezirksgericht Bremgarten gegen ihn durchgeführten Verfahrens nie bestritten, obwohl ihm schon aus der Verfügung der Staatsanwaltschaft vom 3. Dezember 1953 bekannt war, dass die Untersuchung gegen den mitbeteiligten Zivilisten eingestellt war und die Anschuldigung gegen ihn selbst auf "fahrlässige Störung des öffentlichen Verkehrs gemäss Art. 169 bis Ziff. 2 MStG (begangen durch Widerhandlung gegen Art. 46 MFV )" lautete. Vielmehr richtete er durch seinen Verteidiger verschiedene Eingaben an jenes Gericht, worin er u.a. auf die Anwendbarkeit des Militärstrafrechts hinwies; ferner nahm er an der Gerichtsverhandlung vom 18. Februar 1954 teil und liess darin die Anträge auf Freisprechung, eventuell Bestrafung nicht mit Arrest, stellen. Damit hat er unzweideutig die bürgerliche Gerichtsbarkeit anerkannt. BGE 80 I 254 S. 258 Erst nachdem er vom Bezirksgericht Bremgarten zu drei Tagen scharfen Arrests verurteilt worden war, hat er - ausser einer Beschwerde beim Obergericht - den Kompetenzkonflikt erhoben. Man kann sich des Eindrucks nicht erwehren, er habe zuerst die Beurteilung durch das bürgerliche Gericht als für ihn günstiger betrachtet und sich ihr deshalb unterworfen, dann aber die Auffassung geändert, als er in erster Instanz gemäss dem Strafantrag der Staatsanwaltschaft verurteilt wurde. Es geht jedoch nicht an, die Anerkennung oder Bestreitung der Zuständigkeit vom Prozessausgang oder auch nur vom erstinstanzlichen Urteil abhängig zu machen (so auchBGE 70 IV 95betreffend interkantonale Kompetenzstreitigkeiten). Nachdem der Beschwerdeführer sich der bürgerlichen Gerichtsbarkeit unterworfen hat, kann er nicht mehr darauf zurückkommen und den Kompetenzkonflikt anheben. Auf seine Beschwerde ist daher nicht einzutreten.</w:t>
      </w:r>
    </w:p>
    <w:p>
      <w:r>
        <w:rPr>
          <w:b/>
        </w:rPr>
        <w:t>E. 3</w:t>
      </w:r>
    </w:p>
    <w:p>
      <w:r>
        <w:t>Der Hinweis des Oberauditors aufBGE 76 I 192geht fehl. Dieser Entscheid betrifft einen positiven Kompetenzkonflikt und stellt ausdrücklich nur für diesen Fall fest, dass das Bundesgericht auch noch angerufen werden kann, wenn bereits ein rechtskräftiges Urteil ergangen ist. Zudem wurde die damalige Beschwerde nicht von den Verurteilten geführt, sondern von der militärischen Strafbehörde, welche die Zuständigkeit für sich beanspruchte, nachdem die bürgerlichen Behörden ein Strafverfahren wegen militärischer Vergehen durchgeführt und die Angeschuldigten verurteilt hatten; wann die Militärbehörden von diesem Verfahren Kenntnis erhielten, ist aus dem Entscheid des Bundesgerichts nicht ersichtlich.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