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205</w:t>
      </w:r>
    </w:p>
    <w:p>
      <w:r>
        <w:t>Bundesgericht (BGE), 1954-04-09, DE</w:t>
      </w:r>
    </w:p>
    <w:p>
      <w:r>
        <w:rPr>
          <w:b/>
        </w:rPr>
        <w:t xml:space="preserve">Quelle: </w:t>
      </w:r>
      <w:r>
        <w:t>https://mcp.opencaselaw.ch/entscheid/bge_BGE_80_I_205</w:t>
      </w:r>
    </w:p>
    <w:p>
      <w:r>
        <w:t>FR: ATF 80 I 205</w:t>
      </w:r>
    </w:p>
    <w:p>
      <w:r>
        <w:t>IT: DTF 80 I 205</w:t>
      </w:r>
    </w:p>
    <w:p>
      <w:pPr>
        <w:pStyle w:val="Heading2"/>
      </w:pPr>
      <w:r>
        <w:t>Regeste</w:t>
      </w:r>
    </w:p>
    <w:p>
      <w:r>
        <w:t>Regeste Doppelbesteuerungsabkommen mit Deutschland: Besteuerung des Angestellten einer schweizerischen industriellen Unternehmung, der sich für Zwecke der Unternehmung vorübergehend in Deutschland aufhält.</w:t>
      </w:r>
    </w:p>
    <w:p>
      <w:r>
        <w:t>Regeste Convention germano-suisse concernant la double imposition. Imposition de l'employé d'une entreprise industrielle suisse, lorsqu'il séjourne passagèrement en Allemagne pour les besoins de son employeur.</w:t>
      </w:r>
    </w:p>
    <w:p>
      <w:r>
        <w:t>Regesto Convenzione germano-svizzera sulla doppia imposizione: Imposizione dell'impiegato di un'azienda industriale svizzera che soggiorna qualche tempo in Germania per i bisogni dell'azienda.</w:t>
      </w:r>
    </w:p>
    <w:p>
      <w:pPr>
        <w:pStyle w:val="Heading2"/>
      </w:pPr>
      <w:r>
        <w:t>Erwägungen</w:t>
      </w:r>
    </w:p>
    <w:p>
      <w:r>
        <w:rPr>
          <w:b/>
        </w:rPr>
        <w:t>E. 2</w:t>
      </w:r>
    </w:p>
    <w:p>
      <w:r>
        <w:t>Die kantonale Rekurskommission geht mit Recht davon aus, dass der Beschwerdeführer in der Zeit, in der er für Zwecke der Tonwarenfabrik R. im Auslande war, BGE 80 I 205 S. 208 seinen zivilrechtlichen Wohnsitz im Sinne des ZGB in E. hatte. Bis zu seiner Ausreise lebte er im Elternhause in E. E. war der Mittelpunkt seiner persönlichen und beruflichen Interessen, blieb es aber auch während seines Auslandaufenthaltes. Dieser diente Studien für Zwecke des Familienunternehmens, an dem der Beschwerdeführer persönlich beteiligt ist; er hatte seiner Natur nach rein vorübergehenden Charakter, wie denn auch von vornherein feststand, dass der Beschwerdeführer in absehbarer, wenn auch möglicherweise nicht genau festgelegter Zeit, an seinen ordentlichen Wohnort E. zurückkehren werde. Der Beschwerdeführer wollte sich gar nicht im Auslande festsetzen, sondern Kurse einer Fachschule besuchen, Betriebe der keramischen Industrie besichtigen und Geschäftsbeziehungen namentlich mit Lieferanten, anbahnen. Unter diesen Umständen kann daraus, dass er am Orte der Fachschule ein Zimmer mietete und dieses auch während seinen Reisen nach England und Amerika beibehielt, nicht auf eine Verlegung seines zivilrechtlichen Wohnsitzes geschlossen werden. Hatte aber der Beschwerdeführer während seines Auslandaufenthaltes seinen zivilrechtlichen Wohnsitz in der Schweiz, so ist er für die ganze 6. Steuerperiode wehrsteuerpflichtig, wenn einer Besteuerung nicht das Abkommen mit Deutschland für Vermeidung von Doppelbesteuerung entgegensteht.</w:t>
      </w:r>
    </w:p>
    <w:p>
      <w:r>
        <w:rPr>
          <w:b/>
        </w:rPr>
        <w:t>E. 3</w:t>
      </w:r>
    </w:p>
    <w:p>
      <w:r>
        <w:t>Nach dem Abkommen gilt als Wohnsitz der Ort, an dem der Steuerpflichtige eine ständige Wohnung hat und regelmässig verweilt (Art. 8, Abs. 1). Liegen diese Voraussetzungen gleichzeitig in jedem der beiden Staaten vor, so gilt als Wohnsitzstaat derjenige, wo der Steuerpflichtige den Mittelpunkt seiner persönlichen und geschäftlichen Interessen hat (Art. 8, Abs. 2, Satz 1). Da der Beschwerdeführer als lediger und im Familienunternehmen am Sitze des Geschäftsbetriebes arbeitender Sohn seine ordentliche Wohnung im Elternhause am Sitze der Familienunternehmung hat und daher regelmässig dort verweilt und während seines Aufenthaltes in Deutschland BGE 80 I 205 S. 209 ein Zimmer gemietet hatte, welches er regelmässig bewohnte, treffen auf ihn während der Dauer seiner Abwesenheit im Ausland die Voraussetzungen konkurrierender Wohnsitze im Sinne von Art. 8, Abs. 2, Satz 1 des Abkommens zu. Für diesen Fall gilt - nach dem Abkommen - als Wohnsitzstaat derjenige, in dem sich der Mittelpunkt der persönlichen und geschäftlichen Interessen des Steuerpflichtigen befindet. Das ist hier unzweifelhaft - wie übrigens schon in Erw. 2 für das interne Recht festgestellt wurde - die Schweiz. Das Abkommen steht daher der angefochtenen Besteuerung jedenfalls insoweit nicht entgegen, als diese das Kapitalvermögen und Einkünfte daraus erfasst (Art. 6, Abs. 1). Für das Einkommen aus Erwerb verhält es sich nicht anders. Wenn ein unselbständig Erwerbender sich vorübergehend beruflich im andern Staate aufhält und von seinem Arbeitgeber entlöhnt wird, was hier der Fall war, so ist - wie die kantonale Rekurskommission zutreffend feststellt - das Besteuerungsrecht nach der Sonderregelung in Ziffer 3 des Verhandlungsprotokolls vom 7. September 1940 ebenfalls dem "Wohnsitzstaat" zugewiesen, also nach Art. 8, Abs. 2, Satz 1 des Abkommens dem Staate, in dem der Steuerpflichtige den Mittelpunkt seiner persönlichen und geschäftlichen Interessen hat. Der Beschwerdeführer übersieht, dass er (nach dem Abkommen) während seines Aufenthaltes im Ausland Doppelwohnsitz hatte, wobei das Besteuerungsrecht der Schweiz als dem Staate des gemäss Art. 8, Abs. 2, Satz 1 überwiegenden Wohnsitzes zukommt, der andere Staat dagegen nicht besteuern kann. Daraus erklärt sich ohne weiteres, weshalb der Beschwerdeführer in Deutschland nicht besteuert wurde, obgleich er während nahezu zwei Jahren polizeilich als Zimmermieter angemeldet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