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194</w:t>
      </w:r>
    </w:p>
    <w:p>
      <w:r>
        <w:t>Bundesgericht (BGE), 1954-03-03, DE</w:t>
      </w:r>
    </w:p>
    <w:p>
      <w:r>
        <w:rPr>
          <w:b/>
        </w:rPr>
        <w:t xml:space="preserve">Quelle: </w:t>
      </w:r>
      <w:r>
        <w:t>https://mcp.opencaselaw.ch/entscheid/bge_BGE_80_I_194</w:t>
      </w:r>
    </w:p>
    <w:p>
      <w:r>
        <w:t>FR: ATF 80 I 194</w:t>
      </w:r>
    </w:p>
    <w:p>
      <w:r>
        <w:t>IT: DTF 80 I 194</w:t>
      </w:r>
    </w:p>
    <w:p>
      <w:pPr>
        <w:pStyle w:val="Heading2"/>
      </w:pPr>
      <w:r>
        <w:t>Regeste</w:t>
      </w:r>
    </w:p>
    <w:p>
      <w:r>
        <w:t>Regeste Ein Teppichhändler, der sein gesamtes Warenlager in gemieteten Räumen im Zollfreilager unterbringt und seine Kunden dort die Teppiche besichtigen und auswählen lässt, besitzt im Kanton, in dem sich das Zollfreilager befindet, ein sekundäres Steuerdomizil der Betriebsstätte.</w:t>
      </w:r>
    </w:p>
    <w:p>
      <w:r>
        <w:t>Regeste Un marchand de tapis qui loge tous ses stocks dans des locaux loués à l'intérieur d'un entrepôt douanier, où ses clients examinent et choisissent les marchandises, possède, dans le canton où se trouve l'entrepôt, un établissement commercial constitutif d'un domicile fiscal secondaire.</w:t>
      </w:r>
    </w:p>
    <w:p>
      <w:r>
        <w:t>Regesto Un negoziante di tappeti che colloca tutte le sue merci in locali presi a pigione nell'interno d'un magazzino doganale, ove i suoi clienti possono esaminarle e fare la loro scelta, ha nel Cantone, ove si trova il magazzino, uno stabilimento commerciale che costituisce un domicilio fiscale secondario.</w:t>
      </w:r>
    </w:p>
    <w:p>
      <w:pPr>
        <w:pStyle w:val="Heading2"/>
      </w:pPr>
      <w:r>
        <w:t>Erwägungen</w:t>
      </w:r>
    </w:p>
    <w:p>
      <w:r>
        <w:rPr>
          <w:b/>
        </w:rPr>
        <w:t>E. 4</w:t>
      </w:r>
    </w:p>
    <w:p>
      <w:r>
        <w:t>Der Beschwerdeführer hat seinen Wohn- und Geschäftssitz und damit sein primäres Steuerdomizil unbestrittenermassen in Genf. Er unterliegt daher der zürcherischen Steuerhoheit nur dann, wenn er im Kanton Zürich ein sekundäres Steuerdomizil der Betriebsstätte hat, was nach der bundesgerichtlichen Rechtsprechung dann der Fall ist, wenn er in diesem Kanton ständige körperliche Anlagen oder Einrichtungen besitzt, mittels deren sich daselbst ein qualitativ und quantitativ wesentlicher Teil BGE 80 I 194 S. 197 seines Geschäftsbetriebes vollzieht ( BGE 61 I 183 /4 und dort angeführte frühere Urteile, BGE 62 I 139 , BGE 79 I 222 Erw. 2). a) Als körperliche Anlagen und Einrichtungen im Sinne dieser Rechtsprechung hat, sofern damit ein eigener Betrieb, eine Tätigkeit verbunden ist, auch die dauernde Einlagerung von Waren zu gelten, gleichgültig ob diese in eigenen oder in fremden, z.B. in zu diesem Zweck gemieteten Räumlichkeiten erfolgt ( BGE 66 I 156 , BGE 67 I 94 , BGE 77 I 39 ). Das Teppichlager, das der Beschwerdeführer, und zwar offenbar seit mehreren Jahren, in gemieteten Räumen in Zürich besitzt, ist daher an sich geeignet, daselbst ein sekundäres Steuerdomizil der Betriebsstätte zu begründen. Daran ändert auch der Umstand nichts, dass sich diese Lagerräume in einem Zollfreilager befinden; denn Zollfreibezirke ( Art. 2 Abs. 3 und Art. 42 ff. ZG ) werden, wie das Bundesgericht bereits im nicht veröffentlichten Urteil vom 8. Februar 1950 i.S. Moukhtarzade ausgeführt hat, lediglich in zollrechtlicher Beziehung als Ausland behandelt und sind, abgesehen von dieser zur Förderung des internationalen Zwischenhandels aufgestellten Fiktion, schweizerisches Hoheitsgebiet, für das in jeder Hinsicht (Strafrecht, Baupolizeirecht usw.) schweizerisches (eidgenössisches oder kantonales) Recht gilt. b) Das Erfordernis des qualitativ und quantitativ wesentlichen Teils des Geschäftsbetriebs ist, wie die zahlreichen hierüber ergangenen Entscheide zeigen, stets weit ausgelegt worden. Das Bundesgericht hat es jeweils bejaht bei einer Tätigkeit, die zum eigentlichen Geschäftsbetrieb gehört und nicht von ganz untergeordneter oder nebensächlicher Bedeutung ist ( BGE 41 I 443 , BGE 62 I 139 , nicht veröffentlichte Urteile vom 4. Oktober 1940 i.S. Simon, vom 25. September 1947 i.S. Twentieth Century-Fox Film Corp., vom 16. Oktober 1947 i.S. Klar-Film A.-G. und vom 28. Oktober 1948 i.S. Jezler &amp; Co. A.-G.). Der Beschwerdeführer besitzt für die Teppiche, die er zum Verkauf auf eigene Rechnung oder in Kommission aus dem Ausland erhält, ausser den in den Zollfreilagern BGE 80 I 194 S. 198 gemieteten Räumlichkeiten keinerlei Magazine, Verkaufs- oder Vorführungslokalitäten. Er führt daher seine in- und ausländischen Kunden, wie er bei seiner Einvernahme durch die Genfer Steuerbehörden erklärte, in die Zollfreilager, wo sie die ihnen angebotenen Teppiche besichtigen und ihre Wahl treffen. Dort wird also ein wesentlicher Teil der Kaufsverhandlungen geführt, ja werden in der Regel wohl auch die (nach Angabe des Beschwerdeführers nie schriftlichen, sondern stets mündlichen) Kaufverträge abgeschlossen. Die Räume in den Zollfreilagern ersetzen somit dem Beschwerdeführer ein Magazin; in ihnen spielt sich die Tätigkeit ab, die sich sonst in besondern Verkaufs- und Vorführungsräumlichkeiten abzuspielen pflegt. Bei dieser Sachlage muss aber die in den Lagerräumen der Zollfreilager entfaltete Tätigkeit als wesentlicher Teil der Absatztätigkeit des Beschwerdeführers und damit seines Teppichhandels überhaupt betrachtet werden, und zwar selbst dann, wenn - wie nach den Akten anzunehmen ist - die Fakturen von Genf aus versandt, die Korrespondenzen dort erledigt und die Bücher dort geführt werden. Dass die schweizerischen Abnehmer die Einfuhrformalitäten und die Verzollung der Teppiche selber besorgen, ist belanglos, da nur das, womit sich der Beschwerdeführer selbst befasst, in Betracht kommt für den Entscheid darüber, ob die im Zollfreilager sich abspielende Tätigkeit als qualitativ wesentlicher Teil seines Geschäftsbetriebes zu gelten hat. Über das zahlenmässige Verhältnis der im Jahre 1952 im Zollfreilager Zürich gelagerten und von diesem Lager verkauften Teppiche zu denjenigen, die im gleichen Zeitraum sich in den Zollfreilagern Genf und Basel befanden und dort umgesetzt wurden, werden in der staatsrechtlichen Beschwerde keine Angaben gemacht. Der Beschwerdeführer hat jedoch bei der Einvernahme durch die Genfer Steuerbehörden zugegeben, dass sich Ende Dezember 1952 - ausser Kommissionsware - für rund Fr. 39'000.-- ihm gehörende Teppiche im Zollfreilager BGE 80 I 194 S. 199 Zürich befunden haben, d.h. nach seiner Bilanz per 31. Dezember 1952 sein gesamtes Warenlager. Ferner hat er in seinem Schreiben vom 3. Juni 1952 an das Steueramt Zürich erklärt, dass seine "affaires avec le Canton de Zurich" im Jahre 1951 23,7% und in den ersten 5 Monaten des Jahres 1952 15% seiner gesamten "activité" ausgemacht hätten. Die in Zürich sich abspielende Tätigkeit kann daher keinesfalls als völlig nebensächlich bezeichnet werden, was allein gestatten würde, ihr die quantitative Erheblichkeit abzusprechen ( BGE 62 I 139 ).</w:t>
      </w:r>
    </w:p>
    <w:p>
      <w:r>
        <w:rPr>
          <w:b/>
        </w:rPr>
        <w:t>E. 5</w:t>
      </w:r>
    </w:p>
    <w:p>
      <w:r>
        <w:t>Da der Beschwerdeführer nicht gehalten war, sich im Kanton Zürich auf ein Veranlagungsverfahren einzulassen, bevor über die Steuerhoheit dieses Kantons rechtskräftig entschieden war ( BGE 62 I 74 ), hat der Kanton Zürich auf seine Ermessenseinschätzung vom 28. September 1953 zurückzukommen, dem Beschwerdeführer neuerdings Frist zur Einreichung der verlangten buchhalterischen Unterlagen zu setzen und hierauf eine neue Veranlagung zu treffen. Sollte er dabei einen grösseren Teil des Geschäftsgewinnes oder Geschäftsvermögens erfassen, als ihm nach den bundesrechtlichen Ausscheidungsgrundsätzen zukommt, so bleibt es dem Beschwerdeführer unbenommen, dagegen neuerdings staatsrechtliche Beschwerde wegen Verletzung von Art. 46 Abs. 2 BV zu erheben. Ob er damit auch einen allfälligen Anspruch auf Rückerstattung eines Teils der im Kanton Genf bereits bezahlten Steuern wird verbinden können, braucht heute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