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178</w:t>
      </w:r>
    </w:p>
    <w:p>
      <w:r>
        <w:t>Bundesgericht (BGE), 1954-05-12, DE</w:t>
      </w:r>
    </w:p>
    <w:p>
      <w:r>
        <w:rPr>
          <w:b/>
        </w:rPr>
        <w:t xml:space="preserve">Quelle: </w:t>
      </w:r>
      <w:r>
        <w:t>https://mcp.opencaselaw.ch/entscheid/bge_BGE_80_I_178</w:t>
      </w:r>
    </w:p>
    <w:p>
      <w:r>
        <w:t>FR: ATF 80 I 178</w:t>
      </w:r>
    </w:p>
    <w:p>
      <w:r>
        <w:t>IT: DTF 80 I 178</w:t>
      </w:r>
    </w:p>
    <w:p>
      <w:pPr>
        <w:pStyle w:val="Heading2"/>
      </w:pPr>
      <w:r>
        <w:t>Regeste</w:t>
      </w:r>
    </w:p>
    <w:p>
      <w:r>
        <w:t>Regeste Niederlassungsfreiheit. 1. Recht des Heimatkantons, mit staatsrechtlicher Klage die Feststellung zu beantragen, dass eine Heimschaffung verfassungswidrig sei. 2. Art. 45 BV gewährleistet dem Schweizer, der die Voraussetzungen erfüllt, unter denen nach dieser Bestimmung die Niederlassung gewährt werden muss, auch die Freiheit des Aufenthalts.</w:t>
      </w:r>
    </w:p>
    <w:p>
      <w:r>
        <w:t>Regeste Liberté d'établissement. 1. Droit du canton d'origine de faire constater par la voie d'une réclamation de droit public, qu'un rapatriement est inconstitutionnel. 2. L'art. 45 Cst. garantit également la liberté de séjour au citoyen suisse qui remplit les conditions auxquelles cette disposition subordonne l'octroi de l'établissement.</w:t>
      </w:r>
    </w:p>
    <w:p>
      <w:r>
        <w:t>Regesto Libertà di domicilio. 1. Diritto del Cantone di attinenza di far accertare mediante un'azione di diritto pubblico che un rimpatrio è contrario alla costituzione. 2. L'art. 45 CF garantisce pure la libertà di soggiorno al cittadino svizzero che soddisfa alle condizioni da cui questa disposizione fa dipendere la concessione del domicilio.</w:t>
      </w:r>
    </w:p>
    <w:p>
      <w:pPr>
        <w:pStyle w:val="Heading2"/>
      </w:pPr>
      <w:r>
        <w:t>Erwägungen</w:t>
      </w:r>
    </w:p>
    <w:p>
      <w:r>
        <w:rPr>
          <w:b/>
        </w:rPr>
        <w:t>E. 1</w:t>
      </w:r>
    </w:p>
    <w:p>
      <w:r>
        <w:t>Art. 45 BV enthält neben der Gewährleistung eines individuellen Rechts zugunsten des einzelnen Schweizerbürgers zugleich eine Ordnung der rechtlichen Beziehungen zwischen dem Niederlassungs- und dem Heimatkanton. Ist zwischen den beiden Kantonen streitig, ob eine beabsichtigte oder bereits vorgenommene Ausweisung oder Heimschaffung nach dieser Verfassungsbestimmung gerechtfertigt sei, so kann der Heimatkanton beim Bundesgericht gestützt auf Art. 83 lit. b OG staatsrechtliche Klage erheben mit dem Begehren um Feststellung, dass die Frage zu verneinen sei, dies jedenfalls dann, wenn er (noch) ein praktisches Interesse an solcher Feststellung hat ( BGE 71 I 236 , 244). Ein Antrag dieses Inhalts wird mit dem Rechtsbegehren 1 der vorliegenden Klage gestellt. Der Kanton Uri ist an der Abklärung der damit aufgeworfenen Frage interessiert; denn er will aus der Feststellung, die er verlangt, den Schluss ziehen, dass der Kanton St. Gallen an die Kosten der Unterstützung der M. A. und ihres zweiten Kindes beizutragen habe. Er hat das Recht zur Feststellungsklage auch nicht verwirkt. Wenn das Polizeikommando Uri, wie der Kanton St. Gallen behauptet, sich auf Anfrage hin bereit erklärt hat, M. A. zu übernehmen, so hat es dadurch den Kanton Uri, der in der Streitigkeit Partei ist, und den Regierungsrat, der ihn darin zu vertreten BGE 80 I 178 S. 182 hat ( Art. 83 lit. b OG ), nicht binden können. Ebensowenig kann der Feststellungsklage des Kantons Uri entgegengehalten werden, dass die Behörde der Heimatgemeinde M. A. sogleich nach der Heimschaffung unter Vormundschaft gestellt hat. Das Klagebegehren 2 ist insoweit gegenstandslos, als damit die Aufhebung der Heimschaffungsverfügung der "Stadtpolizei" (richtig: des kantonalen Polizeikommandos) St. Gallen verlangt wird; denn diese Verfügung ist nun ersetzt durch den sie bestätigenden Entscheid der St. Galler Regierung. Der weitere Antrag des klagenden Kantons auf Aufhebung dieses Entscheides ist unzulässig; er hätte nur von der heimgeschafften Bürgerin selbst, durch staatsrechtliche Beschwerde, gestellt werden können ( BGE 71 I 237 , Abs. 1 am Ende). Soweit der Entscheid der St. Galler Regierung vom 26. September 1953 das Begehren der Urner Regierung betrifft, die Betreuung der M. A. sei von der Vormundschaftsbehörde der Stadt St. Gallen zu übernehmen, ist er nicht angefochten. Auch mit dem Klagebegehren 3 kann das Bundesgericht sich nicht befassen. Nach Art. 17 und 18 des Konkordates über die wohnörtliche Unterstützung von 1937, dem beide Parteien angehören, ist es Sache des eidg. Justiz- und Polizeidepartements, über Streitigkeiten zwischen Konkordatskantonen betreffend die Verteilung der Fürsorgekosten endgültig, als Schiedsinstanz, zu entscheiden. Indessen besteht kein Grund, die Akten dieser Behörde zu übergeben, da ein Beschluss, der dem Rekurs an sie unterliegen würde, derzeit nicht vorliegt. Der Umstand, dass Uri und St. Gallen Konkordatskantone sind, ändert aber nichts daran, dass die Feststellung, ob die vollzogene Heimschaffung vor Art. 45 BV standhalte, in die Zuständigkeit des Bundesgerichts fällt. Das eidg. Justiz- und Polizeidepartement teilt diese Auffassung, wie es im durchgeführten Meinungsaustausch, unter Hinweis auf seine Praxis (Entscheidsammlung in der Beilage zur Zeitschrift "Der Armenpfleger", 1944 S. 57 ff., 1951 BGE 80 I 178 S. 183 S. 17 ff., 25 ff.), erklärt hat. Auf das Klagebegehren 1 ist daher einzutreten.</w:t>
      </w:r>
    </w:p>
    <w:p>
      <w:r>
        <w:rPr>
          <w:b/>
        </w:rPr>
        <w:t>E. 2</w:t>
      </w:r>
    </w:p>
    <w:p>
      <w:r>
        <w:t>Art. 45 BV gewährleistet jedem Schweizer unter gewissen Voraussetzungen das Recht der freien Niederlassung an jedem Orte des schweizerischen Gebietes. Die Garantie schliesst das Recht zum Aufenthalt, als minus, in sich, so dass auch das bloss vorübergehende oder wenigstens nicht auf längere Zeit berechnete Verweilen an einem Orte einem Schweizer nicht untersagt werden darf, wenn er die Voraussetzungen erfüllt, unter denen nach Art. 45 BV die Niederlassung gewährt werden muss ( BGE 42 I 303 f., BGE 46 I 405 , BGE 60 I 86 oben). Es ist unbestritten, dass M. A. zur Zeit, als sie aus St. Gallen durch die Polizei heimgeschafft wurde, keinen der Tatbestände gegen sich hatte, die nach Art. 45 BV zur Verweigerung oder zum Entzug der Niederlassung berechtigen. Es kann auch nicht gesagt werden, dass damals die Voraussetzung des "Besitzes" ("production") eines Heimatscheins oder einer gleichbedeutenden Ausweisschrift gefehlt habe. M. A. hatte in der Stadt St. Gallen seinerzeit einen Heimatschein hinterlegt. Die dortige Behörde hatte ihn dann allerdings der Heimatgemeinde zurückgesandt, aber von sich aus, nicht auf Begehren der M. A. Es wäre ohne weiteres möglich gewesen, binnen kurzer Frist ihn wieder beizubringen oder an seiner Stelle eine gleichbedeutende Ausweisschrift zu hinterlegen. Daraus folgt, dass M. A. im Zeitpunkt der Heimschaffung gegenüber dem Kanton St. Gallen alle Voraussetzungen erfüllte, an die Art. 45 BV die Berechtigung des Bürgers zur freien Niederlassung und damit auch zum freien Aufenthalt am Orte seiner Wahl knüpft. Die vorgenommene Heimschaffung hinderte sie aber an der Ausübung ihres Rechts, frei zu bestimmen, ob sie sich weiterhin, sei es auch nur vorübergehend, im Kanton St. Gallen aufhalten wolle. Die Massnahme verstösst daher gegen Art. 45 BV . Welcher Art die örtliche Beziehungen waren, in denen M. A. zur Zeit der Heimschaffung zum Kanton St. Gallen BGE 80 I 178 S. 184 stand, ist für die Beurteilung des Klagebegehrens 1 unerheblich. In Frage steht das in Art. 45 BV gewährleistete Recht der freien Niederlassung. In diesem Recht, das auch Anspruch auf freien Aufenthalt gibt, wurde M. A. durch die Heimschaffung beeinträchtigt, auch wenn sie Wohnsitz und Niederlassung in St. Gallen aufgegeben hatte und dort nur vorübergehend weilte, als diese Massnahme angeordnet wurde. Wenn sie die ursprüngliche feste örtliche Beziehung zu St. Gallen gelöst hatte, so mag das die Löschung der seinerzeit erteilten "Aufenthaltsbewilligung" - die in ihrer Wirkung offenbar auf eine Niederlassungsbewilligung hinauslief - gerechtfertigt haben; es wird auch, im Hinblick auf die Frage des "Konkordatswohnsitzes", von Bedeutung sein für die Verteilung der Fürsorgekosten. Wie es sich damit verhält, hat das Bundesgericht im vorliegenden Verfahren nicht zu untersuchen. Zu prüfen ist nur, ob der Kanton St. Gallen M. A. ohne Verletzung des Art. 45 BV habe heimschaffen dürfen. Das ist nach dem Ausgeführten zu verneinen.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