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174</w:t>
      </w:r>
    </w:p>
    <w:p>
      <w:r>
        <w:t>Bundesgericht (BGE), 1954-04-13, FR</w:t>
      </w:r>
    </w:p>
    <w:p>
      <w:r>
        <w:rPr>
          <w:b/>
        </w:rPr>
        <w:t xml:space="preserve">Quelle: </w:t>
      </w:r>
      <w:r>
        <w:t>https://mcp.opencaselaw.ch/entscheid/bge_BGE_80_I_174</w:t>
      </w:r>
    </w:p>
    <w:p>
      <w:r>
        <w:t>FR: ATF 80 I 174</w:t>
      </w:r>
    </w:p>
    <w:p>
      <w:r>
        <w:t>IT: DTF 80 I 174</w:t>
      </w:r>
    </w:p>
    <w:p>
      <w:pPr>
        <w:pStyle w:val="Heading2"/>
      </w:pPr>
      <w:r>
        <w:t>Regeste</w:t>
      </w:r>
    </w:p>
    <w:p>
      <w:r>
        <w:t>Regeste Schweres Vergehen im Sinne von Art. 45 Abs. 3 BV. Die Vernachlässigung von Unterstützungspfiichten ist ein schweres Vergehen, wenn der Schuldner seine Unterstützungspfiichten während längerer Zeit aus bösem Willen, aus Arbeitsscheu oder aus Liederlichkeit nicht erfüllt.</w:t>
      </w:r>
    </w:p>
    <w:p>
      <w:r>
        <w:t>Regeste Délit grave (art. 45 al. 3 Cst.). La violation d'obligation d'entretien constitue un délit grave pouvant justifier le retrait d'établissement lorsque, pendant un temps prolongé, le débiteur ne remplit pas ses obligations par suite de mauvaise volonté, de fainéantise ou d'inconduite.</w:t>
      </w:r>
    </w:p>
    <w:p>
      <w:r>
        <w:t>Regesto Delitto grave (art. 45 cp. 3 CF). La violazione dell'obbligo di assistenza è un delitto grave che può giustificare la revoca del domicilio, quando, durante un periodo prolungato, il debitore non adempie le sue obbligazioni per cattiva volontà, pigrizia o cattiva condotta.</w:t>
      </w:r>
    </w:p>
    <w:p>
      <w:pPr>
        <w:pStyle w:val="Heading2"/>
      </w:pPr>
      <w:r>
        <w:t>Erwägungen</w:t>
      </w:r>
    </w:p>
    <w:p>
      <w:r>
        <w:rPr>
          <w:b/>
        </w:rPr>
        <w:t>E. 1</w:t>
      </w:r>
    </w:p>
    <w:p>
      <w:r>
        <w:t>D'après l'art. 45 al. 3 Cst. et la jurisprudence constante du Tribunal fédéral, deux conditions sont nécessaires pour que le retrait d'établissement puisse être prononcé. D'une part, l'expulsé doit avoir encouru deux condamnations au moins, dont la seconde en tout cas pour des actes qu'il a commis depuis qu'il est établi sur le territoire du canton qui a prononcé l'expulsion. D'autre part, il faut que ces condamnations aient eu pour objet des "délits graves", c'est-à-dire des infractions qui, par leur nature ou les circonstances dans lesquelles elles ont été commises, dénotent chez leur auteur un caractère asocial ou un mépris des lois tels que la présence du délinquant constitue un danger pour l'ordre public (RO 78 I 311, 76 I 84/85).</w:t>
      </w:r>
    </w:p>
    <w:p>
      <w:r>
        <w:rPr>
          <w:b/>
        </w:rPr>
        <w:t>E. 2</w:t>
      </w:r>
    </w:p>
    <w:p>
      <w:r>
        <w:t>A l'appui de la décision attaquée, le Conseil d'Etat a retenu les deux condamnations infligées au recourant en 1950 et 1953 pour violation d'obligation d'entretien. L'art. 217 CP punit celui qui viole son obligation d'entretien en ne fournissant pas, par mauvaise volonté, par fainéantise ou par inconduite les aliments ou les subsides qu'il doit à ses proches ou à son conjoint divorcé. Cette infraction est la preuve d'un caractère négligent. Elle n'a pas la gravité requise par l'art. 45 al. 3 Cst. lorsque la négligence qu'elle révèle n'est que temporaire. En revanche, il en va différemment quand, pendant un temps prolongé, BGE 80 I 174 S. 177 le débiteur ne remplit pas ses obligations par suite de mauvaise volonté, de fainéantise ou d'inconduite. Par son opiniâtreté à se soustraire à son devoir, il montre alors qu'il méprise les lois et qu'il a un caractère asocial. Ce comportement, qui met en danger l'ordre public à cause de la mentalité dont il témoigne, peut justifier le retrait d'établissement.</w:t>
      </w:r>
    </w:p>
    <w:p>
      <w:r>
        <w:rPr>
          <w:b/>
        </w:rPr>
        <w:t>E. 3</w:t>
      </w:r>
    </w:p>
    <w:p>
      <w:r>
        <w:t>Au regard de ces principes, les violations d'obligation d'entretien, pour lesquelles le recourant a été condamné en 1948 et 1949, ne sont pas des délits graves. Aussi bien le Conseil d'Etat ne les a-t-il pas retenues à l'appui de la décision attaquée. En revanche, les faits qui ont abouti aux condamnations prononcées en 1950 et 1953 remplissent les conditions exigées par l'art. 45 al. 3 Cst. Par son jugement du 19 janvier 1950, le Tribunal de police de Genève a prononcé une peine de 45 jours d'emprisonnement. Il a constaté que le recourant ne s'était pas acquitté du tout de ses obligations depuis plus de 18 mois. Le recourant lui-même avait d'ailleurs admis en cours d'enquête que pendant une année complète, de novembre 1948 à novembre 1949, il n'avait rien versé sur les pensions qu'il devait. Alors qu'il venait d'être condamné à deux reprises déjà pour des faits qui, bien que moins graves, constituaient le même délit, il a persisté néanmoins à ne pas se conformer à la loi. Dans son second jugement, du 28 septembre 1953, le Tribunal de police a prononcé une peine de deux mois d'emprisonnement. En effet, dans la période qui a suivi la condamnation de 1950, le recourant n'a pas modifié son comportement. En 1951 et 1952, il n'a payé que 745 fr. sur les pensions dues et a accumulé ainsi un retard de 3500 fr. environ. Pourtant de nombreux délais lui ont été accordés. Mais il n'a jamais respecté les promesses qu'il a faites. Il n'a donc pas tenu compte des mises en garde que constituaient les condamnations précédentes et a montré ainsi qu'il faisait fi non seulement de la loi mais des ordres des autorités. BGE 80 I 174 S. 178 Ainsi, il est établi que, depuis plusieurs années, le recourant s'obstine à ne pas remplir ses obligations envers ses enfants. Sans doute explique-t-il que, pendant ces annéeslà, il devait payer une pension mensuelle de 175 fr. d'abord puis de 200 fr. ensuite et que son gain n'était que de 450 fr. Toutefois, ces circonstances ne lui permettaient en aucun cas de suspendre totalement ou presque complètement ses paiements. Il aurait pu verser des sommes plus importantes que celles qu'il a remises à sa femme ou au Tuteur général. En effet, hormis son entretien, il n'a d'autres charges de famille que ses deux enfants. Dans ces conditions, son comportement n'apparaît pas comme la conséquence de circonstances indépendantes de sa volonté, mais comme la manifestation d'un caractère et d'une mentalité contre lesquels le public doit être protégé. Le retrait d'établissement est donc justifié.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