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116</w:t>
      </w:r>
    </w:p>
    <w:p>
      <w:r>
        <w:t>Bundesgericht (BGE), 1954-01-01, FR</w:t>
      </w:r>
    </w:p>
    <w:p>
      <w:r>
        <w:rPr>
          <w:b/>
        </w:rPr>
        <w:t xml:space="preserve">Quelle: </w:t>
      </w:r>
      <w:r>
        <w:t>https://mcp.opencaselaw.ch/entscheid/bge_BGE_80_I_116</w:t>
      </w:r>
    </w:p>
    <w:p>
      <w:r>
        <w:t>FR: ATF 80 I 116</w:t>
      </w:r>
    </w:p>
    <w:p>
      <w:r>
        <w:t>IT: DTF 80 I 116</w:t>
      </w:r>
    </w:p>
    <w:p>
      <w:pPr>
        <w:pStyle w:val="Heading2"/>
      </w:pPr>
      <w:r>
        <w:t>Regeste</w:t>
      </w:r>
    </w:p>
    <w:p>
      <w:r>
        <w:t>Regeste Handels- und Gewerbefreiheit. Polizeiliche Beschränkungen (Art. 31 BV). Vorausetzungen, unter denen die Bewilligung zur Berufsausübung, hier zur gewerbsmässigen Vermittlung von Geschäftsübertragungen, von der Erlegung einer Kaution abhängig gemacht werden kann (Erw. 2). Rechtsgleichheit (Art. 4 BV). Stellt es eine rechtsungleiche Behandlung dar, wenn ein kantonaler Erlass nur die gewerbsmässigen Vermittler von Geschäftsübertragungen kautionspflichtig erklärt, nicht dagegen die nichtgewerbsmässigen Vermittler und nicht die Liegenschaftsmäkler und Rechtsagenten, die sich mit solcher Vermittlung befassen? (Erw. 4).</w:t>
      </w:r>
    </w:p>
    <w:p>
      <w:r>
        <w:t>Regeste Liberté du commerce et de l'industrie. Mesures de police (art. 31 Cst.) Conditions auxquelles un canton peut soumettre l'exercice d'une profession, en l'espèce celle d'agent intermédiaire en fonds de commerce, à la fourniture de sûretés (consid. 2). Egalité des citoyens devant la loi (art. 4 Cst.). Disposition cantonale exigeant des sûretés de la part des agents professionnels en fonds de commerce, mais non de la part des agents non-professionnels, des agents d'affaires et des courtiers en immeubles. Inégalité de traitement? (consid. 4).</w:t>
      </w:r>
    </w:p>
    <w:p>
      <w:r>
        <w:t>Regesto Libertà d'industria e di commercio. Misure di polizia (art. 31 CF). Condizioni alle quali un cantone può sottoporre l'esercizio d'una professione, in concreto quella d'agente intermediario di aziende commerciali, a fornire delle garanzie (consid. 2). Uguaglianza dei cittadini davanti alla legge (art. 4 CF). Disposizione cantonale, la quale esige che gli agenti intermediari professionali di aziende commerciali siano tenuti a fornire una cauzione, ma non sottopone a questo obbligo gli agenti non professionali, gli agenti d'affari ed i mediatori d'immobili. Disparità di trattamento? (consid. 4).</w:t>
      </w:r>
    </w:p>
    <w:p>
      <w:pPr>
        <w:pStyle w:val="Heading2"/>
      </w:pPr>
      <w:r>
        <w:t>Erwägungen</w:t>
      </w:r>
    </w:p>
    <w:p>
      <w:r>
        <w:rPr>
          <w:b/>
        </w:rPr>
        <w:t>E. 2</w:t>
      </w:r>
    </w:p>
    <w:p>
      <w:r>
        <w:t>L'art. 31 Cst., qui garantit la liberté du commerce et de l'industrie, réserve le droit. de l'Etat de soumettre l'exercice des professions industrielles et commerciales à des prescriptions de police destinées à empêcher que la sécurité, BGE 80 I 116 S. 119 la tranquillité, la moralité et la santé publiques ne soient compromises par la façon dont une profession est exercée, ou à assurer la loyauté des transactions et protéger le public contre des procédés fallacieux et dommageables. Ces mesures ne doivent pas avoir pour but d'entraver le libre jeu de la concurrence et de corriger ses effets (RO 70 I 147, 66 I 23, 65 I 72). Il ne faut pas qu'elles soient plus rigoureuses que ne l'exige la sauvegarde des intérêts que l'Etat a le devoir de défendre. Elles sont toujours inadmissibles lorsque des mesures plus libérales auraient permis d'arriver au même résultat (RO 78 I 305). Dans ces limites, l'Etat peut soumettre l'exercice de certaines professions à la fourniture de sûretés destinées à garantir les engagements d'affaires qu'une personne contracte à l'égard des particuliers, quand la nature de son commerce ou de son industrie justifie une protection spéciale des tiers. Tel est le cas lorsque, dans l'exercice de sa profession ou de son industrie, une personne est appelée à recevoir ou à payer pour le compte de ses clients des sommes importantes et qu'elle peut ainsi facilement tromper la confiance que le public met en elle (RO 65 I 77/78 ; 48 I 275 ; 42 I 279 ; 32 I 640 ; Jurisprudence du Conseil fédéral: SALIS, Le droit fédéral suisse, 2e édition, 1905, vol. II, No 787, p. 611; No 807; 867; 868 a; 869, p. 707). Au regard des principes qui viennent d'être rappelés, le législateur genevois était fondé à exiger des agents intermédiaires en fonds de commerce des garanties destinées, comme la loi le dit expressément, à couvrir leur responsabilité professionnelle. Car l'exercice de cette profession expose le public à des risques particuliers. Ainsi que le recourant le déclare du reste lui-même, l'agent intermédiaire en fonds de commerce est appelé pour le compte de ses clients à recevoir les productions de créanciers, à encaisser des valeurs souvent considérables et à régler des dettes. L'existence de cet important mouvement de fonds entre ses mains constitue pour le public un risque accru qui, du point de vue de l'art. 31 Cst., justifie pleinement BGE 80 I 116 S. 120 l'exigence d'une garantie de celui qui veut exercer la profession.</w:t>
      </w:r>
    </w:p>
    <w:p>
      <w:r>
        <w:rPr>
          <w:b/>
        </w:rPr>
        <w:t>E. 4</w:t>
      </w:r>
    </w:p>
    <w:p>
      <w:r>
        <w:t>Le recourant se prévaut de l'art. 4 Cst. et soutient que la loi genevoise du 20 mai 1950 consacre une inégalité de traitement parce qu'elle ne s'applique qu'aux agents professionnels, les agents non-professionnels étant libérés des obligations qu'elle prévoit, notamment de celle de fournir des sûretés. Ce moyen ne saurait cependant être retenu. En effet, il est évident que, si l'Etat doit protéger le public à l'égard des agents professionnels, il n'a en revanche pas de raison d'intervenir lorsqu'une personne s'entremet occasionnellement dans une transaction relative à un fonds de commerce. En pareil cas, le public ne court pas de danger particulier. D'ailleurs, comme l'intimé le fait remarquer à juste titre, la plupart des personnes que cite le recourant et qui s'occupent parfois de transactions de cette nature appartiennent à des professions réglementées (avocat, notaire par exemple). Il n'y a pas d'inégalité de traitement non plus dans le fait que les agents d'affaires, déjà astreints comme tels à fournir des sûretés, ne sont pas tenus de remettre de nouvelles garanties lorsqu'ils agissent aussi en qualité d'agents intermédiaires en fonds de commerce. Le recourant ne montre nullement qu'en pareille hypothèse, la protection du public exige un double cautionnement. En ce qui concerne les agents d'affaires, cette protection est assurée du reste d'une manière plus efficace encore que pour les agents intermédiaires: ils sont tenus non seulement de fournir un cautionnement de 10 000 fr. mais encore de justifier par un examen professionnel de connaissances théoriques et pratiques suffisantes. Enfin, le législateur genevois n'a pas violé non plus l'art. 4 Cst. en ne soumettant pas les courtiers en immeubles à la loi du 20 mai 1950 et en n'exigeant pas d'eux une caution. En effet, ils ne se trouvent pas dans la même situation de fait que les agents intermédiaires. Ils ne sont pas souvent chargés d'encaisser des fonds ou de faire BGE 80 I 116 S. 121 des paiements pour leurs clients (RO 65 I 78). C'est en général l'officier public instrumentant l'acte authentique qui effectue ces opérations. En revanche l'agent intermédiaire est appelé à recevoir les productions des créanciers, à encaisser des sommes importantes et à régler des dettes.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