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62</w:t>
      </w:r>
    </w:p>
    <w:p>
      <w:r>
        <w:t>Bundesgericht (BGE), 1954-03-12, DE</w:t>
      </w:r>
    </w:p>
    <w:p>
      <w:r>
        <w:rPr>
          <w:b/>
        </w:rPr>
        <w:t xml:space="preserve">Quelle: </w:t>
      </w:r>
      <w:r>
        <w:t>https://mcp.opencaselaw.ch/entscheid/bge_BGE_80_IV_62</w:t>
      </w:r>
    </w:p>
    <w:p>
      <w:r>
        <w:t>FR: ATF 80 IV 62</w:t>
      </w:r>
    </w:p>
    <w:p>
      <w:r>
        <w:t>IT: DTF 80 IV 62</w:t>
      </w:r>
    </w:p>
    <w:p>
      <w:pPr>
        <w:pStyle w:val="Heading2"/>
      </w:pPr>
      <w:r>
        <w:t>Regeste</w:t>
      </w:r>
    </w:p>
    <w:p>
      <w:r>
        <w:t>Regeste Art. 191 Ziff. 1 Abs. 2 und Ziff. 2 Abs. 5 StGB. Begriff des Dienstboten.</w:t>
      </w:r>
    </w:p>
    <w:p>
      <w:r>
        <w:t>Regeste Art. 191 ch. 1 al. 2 et ch. 2 al. 5 CP. Notion du domestique.</w:t>
      </w:r>
    </w:p>
    <w:p>
      <w:r>
        <w:t>Regesto Art. 191 cifra 1 cp. 2 e cifra 2 cp. 5 CP. Nozione del servo.</w:t>
      </w:r>
    </w:p>
    <w:p>
      <w:pPr>
        <w:pStyle w:val="Heading2"/>
      </w:pPr>
      <w:r>
        <w:t>Erwägungen</w:t>
      </w:r>
    </w:p>
    <w:p>
      <w:r>
        <w:rPr>
          <w:b/>
        </w:rPr>
        <w:t>E. 1</w:t>
      </w:r>
    </w:p>
    <w:p>
      <w:r>
        <w:t>Wer sich der Unzucht mit einem Kinde unter sechzehn Jahren schuldig macht, wird gemäss Art. 191 Ziff. 1 Abs. 2 und Ziff. 2 Abs. 5 StGB schärfer bestraft, wenn das Kind der Schüler, Zögling, Lehrling, Dienstbote oder das Kind, Grosskind, Adoptivkind, Stiefkind, Mündel oder Pflegekind des Täters ist. In BGE 71 IV 192 hat der Kassationshof ein Kennzeichen des Dienstbotenverhältnisses im Sinne dieser Bestimmungen darin gesehen, dass es auf der einen Seite eine besondere Autorität und auf der anderen Seite eine besondere Abhängigkeit begründe, und in BGE 78 IV 159 hat er diese Umschreibung dahin erläutert, dass er mit "besonderer" Autorität bzw. Abhängigkeit nicht habe sagen wollen, beide müssten einen besonders hohen Grad erreicht haben, sondern bloss, dass Autorität und Abhängigkeit allein ein Verhältnis nicht zum Dienstbotenverhältnis machten, sondern dass hiezu eine besonders geartete Autorität bzw. Abhängigkeit gehöre, wie sie zwischen Dienstherr und Dienstbote bestehe. Damit ist nicht entschieden worden, dass die besondere Autorität bzw. Abhängigkeit das einzige Kennzeichen des Dienstbotenverhältnisses sei. Die Frage, welche weiteren Merkmale dazu gehörten, stellte sich in BGE 71 IV 190 ff. nicht, weil dort das Dienstbotenverhältnis schon mangels BGE 80 IV 62 S. 65 der besonderen Autorität und Abhängigkeit verneint wurde, und in BGE 78 IV 156 ff. wurde wiederum bloss geprüft, ob das Verhältnis zwischen Täter und Opfer als Dienstverhältnis mit der ihm eigenen Autorität und Abhängigkeit gewürdigt werden könne, da nicht streitig war, dass, falls ein Dienstverhältnis überhaupt bestanden habe, das Kind Dienstbote, nicht Dienstpflichtiger anderer Art gewesen sei. Da Art. 191 Ziff. 1 Abs. 2 und Ziff. 2 Abs. 5 StGB nicht allen Dienstpflichtigen, sondern nur dem Lehrling und dem Dienstboten den erhöhten strafrechtlichen Schutz bieten, ist klar, dass die dienstherrliche Autorität und die Abhängigkeit des Dienstpflichtigen allein das Dienstbotenverhältnis nicht ausmachen. Vielmehr ist nötig, dass das missbrauchte Kind die besonderen Merkmale aufweise, die den Dienstboten (domestique, servo) von anderen Dienstpflichtigen unterscheiden. Sie bestehen darin, dass es wegen der ihm obliegenden Verrichtungen im Haushalte des Dienstherrn ähnlich einem zur Familie gehörenden Kinde ein- und auszugehen hat. Die enge persönliche Berührung mit dem Dienstherrn, in die es dabei kommt, in Verbindung mit der dem Dienstpflichtigen eigenen Abhängigkeit vom Dienstherrn, bildet den gesetzgeberischen Grund des verstärkten strafrechtlichen Schutzes, den Art. 191 in Ziff. 1 Abs. 2 und Ziff. 2 Abs. 5 dem Dienstboten bietet. Unerheblich ist, ob das Kind mit dem Dienstherrn in gemeinsamem Haushalte lebt, d.h. (vgl. BGE 72 IV 4 ) mit ihm unter gemeinsamem Dache schläft. Die erwähnten Bestimmungen sprechen von den Dienstboten schlechthin, nicht etwa bloss von denen, die zugleich Familiengenossen im Sinne von Art. 110 Ziff. 3 StGB sind, oder von den "in gemeinsamem Haushalte lebenden" Dienstboten. Dass das Schlafen unter gemeinsamem Dache nicht schon zum Begriff des Dienstbotenverhältnisses gehört, zeigt Art. 333 OR , der auch Dienstboten kennt, die nicht in Hausgemeinschaft leben. Auch der allgemeine Sprachgebrauch verbindet mit dem Worte "Dienstbote" BGE 80 IV 62 S. 66 nicht notwendigerweise die Vorstellung des gemeinsamen Wohnens.</w:t>
      </w:r>
    </w:p>
    <w:p>
      <w:r>
        <w:rPr>
          <w:b/>
        </w:rPr>
        <w:t>E. 2</w:t>
      </w:r>
    </w:p>
    <w:p>
      <w:r>
        <w:t>Als der Beschwerdegegner M. F. zur Unzucht missbrauchte, stand sie zu ihm in einem Dienstverhältnis und damit in einer Abhängigkeit, wie sie einem solchen Verhältnis eigen ist. Sie hatte sich seiner als Inhaberin der Schlüsselgewalt handelnden Ehefrau und damit auch ihm selber gegenüber auf Zeit verpflichtet, gegen Lohn Dienste zu leisten. Daran ändert der Umstand nichts, dass sie das Verhältnis jederzeit hätte auflösen können. Entlöhnt wurde sie nichtsdestoweniger nicht für die einzelne Verrichtung, sondern dafür, dass sie überhaupt im Haushalt des Beschwerdegegners nach Massgabe ihrer verfügbaren Zeit arbeitete. Weder dem Dienstvertrag im allgemeinen, noch dem Dienstbotenverhältnis im besonderen ist es eigen, dass der Vertrag auf eine feste Dauer abgeschlossen worden sei oder nur unter Einhaltung einer bestimmten Kündigungsfrist aufgelöst werden könne. Die Abhängigkeit, wie sie in BGE 71 IV 192 und BGE 78 IV 158 verstanden wurde, besteht nicht in einer vorübergehenden Unmöglichkeit, die vertragliche Bindung zum Dienstherrn zu lösen, sondern darin, dass der Dienstpflichtige, solange er tatsächlich im Dienste des andern steht, von ihm Weisungen anzunehmen und sie zu befolgen hat. Dienstvertragliche Abhängigkeit setzt auch nicht voraus, dass der Dienstpflichtige täglich oder wöchentlich eine bestimmte Mindestzahl von Stunden für den Dienstherrn arbeite und dass die Arbeit jeden Tag zur gleichen Stunde verrichtet werde. Übrigens hatte M. F. gerade um die Zeit, da der Beschwerdegegner sie missbrauchte, bedeutende und regelmässige Tagesarbeit in seinem Dienste zu verrichten, da seine Ehefrau im Spital war und das Mädchen Schulferien hatte. Nach den Verhältnissen zur Zeit der Tat beurteilt sich, ob es Dienstbote des Beschwerdegegners war, nicht darnach, ob es auch zu anderen Zeiten, z.B. im Winter, diese Eigenschaft hatte. Unerheblich ist sodann auch, dass M. F. einen verhältnismässig geringen Lohn bezog; käme darauf etwas an, so BGE 80 IV 62 S. 67 bestände der verstärkte Schutz von Art. 191 Ziff. 1 Abs. 2 und Ziff. 2 Abs. 5 StGB meistens nicht, da Kinder unter sechzehn Jahren als Dienstboten in der Regel nicht erheblich entlöhnt werden. Diese Bestimmungen fragen auch nicht nach dem Beweggrund, der bei der Begründung des Dienstbotenverhältnisses leitend war. Die Feststellung der Vorinstanz und der Einwand des Beschwerdegegners, M. F. habe sich aus Freude an der Betreuung von Kindern verdingt, ist daher ohne Belang. M. F. war nicht nur Dienstpflichtige des Beschwerdegegners, sondern auch dessen Dienstbote. Sie hatte ihre vertraglichen Verrichtungen zur Zeit, da der Beschwerdegegner sie zur Unzucht missbrauchte, in seinem Haushalte zu verrichten und kam dadurch in jene enge persönliche Berührung mit dem Dienstherrn, die den Dienstboten in erhöhtem Masse schutzbedürftig macht. Die Kriminalkammer hat daher den Beschwerdegegner nach Art. 191 Ziff. 1 Abs. 2 und Ziff. 2 Abs. 5 StGB zu bestrafen. Dispositiv Demnach erkennt der Kassationshof: Die Nichtigkeitsbeschwerde wird gutgeheissen, das Urteil der Kriminalkammer des Kantons Bern vom 27. Oktober 1953 aufgehoben und die Sache zur Bestrafung des Beschwerdegegners nach Art. 191 Ziff. 1 Abs. 2 und Ziff. 2 Abs. 5 StGB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