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43</w:t>
      </w:r>
    </w:p>
    <w:p>
      <w:r>
        <w:t>Bundesgericht (BGE), 1954-01-01, FR</w:t>
      </w:r>
    </w:p>
    <w:p>
      <w:r>
        <w:rPr>
          <w:b/>
        </w:rPr>
        <w:t xml:space="preserve">Quelle: </w:t>
      </w:r>
      <w:r>
        <w:t>https://mcp.opencaselaw.ch/entscheid/bge_BGE_80_IV_43</w:t>
      </w:r>
    </w:p>
    <w:p>
      <w:r>
        <w:t>FR: ATF 80 IV 43</w:t>
      </w:r>
    </w:p>
    <w:p>
      <w:r>
        <w:t>IT: DTF 80 IV 43</w:t>
      </w:r>
    </w:p>
    <w:p>
      <w:pPr>
        <w:pStyle w:val="Heading2"/>
      </w:pPr>
      <w:r>
        <w:t>Regeste</w:t>
      </w:r>
    </w:p>
    <w:p>
      <w:r>
        <w:t>Regeste Art. 3 MFG. Die Übertretung eines auf Grund dieser Bestimmung erlassenen Verbotes ist eine Verletzung kantonalen Rechts. - Immerhin muss das Verbot an Ort und Stelle durch ein der StrSigV entsprechendes Signal bekanntgemacht worden sein. - - Wenn der Führer das Verbot kennt, kann er trotz Fehlens des Signals bestraft werden.</w:t>
      </w:r>
    </w:p>
    <w:p>
      <w:r>
        <w:t>Regeste Art. 3 LA. La contravention à une interdiction fondée sur cette règle légale constitue une violation du droit cantonal. - Il faut toutefois que l'interdiction ait été marquée sur place par un signal conforme à l'OSR. - - Si le conducteur connaît effectivement l'interdiction, il peut être puni nonobstant l'absence de signal.</w:t>
      </w:r>
    </w:p>
    <w:p>
      <w:r>
        <w:t>Regesto Art. 3 LA. La contravvenzione ad un divieto statuito in virtù di questo disposto costituisce una violazione del diritto cantonale. - Occorre tuttavia che il divieto fosse indicato sul posto da un segnale conforme a quelli previsti dall'ordinanza concernente la segnalazione stradale. - - Se il conducente conosceva il divieto, può essere punito anche se mancava il segnale.</w:t>
      </w:r>
    </w:p>
    <w:p>
      <w:pPr>
        <w:pStyle w:val="Heading2"/>
      </w:pPr>
      <w:r>
        <w:t>Erwägungen</w:t>
      </w:r>
    </w:p>
    <w:p>
      <w:r>
        <w:rPr>
          <w:b/>
        </w:rPr>
        <w:t>E. 1</w:t>
      </w:r>
    </w:p>
    <w:p>
      <w:r>
        <w:t>.....</w:t>
      </w:r>
    </w:p>
    <w:p>
      <w:r>
        <w:rPr>
          <w:b/>
        </w:rPr>
        <w:t>E. 2</w:t>
      </w:r>
    </w:p>
    <w:p>
      <w:r>
        <w:t>L'art. 3 LA autorise les cantons à interdire ou à restreindre la circulation sur certains trajets et à certains BGE 80 IV 43 S. 46 moments (sens unique, voies fermées à certaines catégories de véhicules etc.). Faisant usage de cette faculté, la commune de Lausanne a interdit la circulation au haut de la rue du Petit-Chêne, sauf une exception en faveur des riverains, qui peuvent emprunter cette voie à la descente. Il s'agit là d'une interdiction de droit cantonal (v. par exemple, RO 78 IV 186). Toutefois, on a admis en jurisprudence que le droit fédéral subordonne la punition de ceux qui contreviennent à une telle règle de droit cantonal à la condition que l'interdiction ait été marquée sur place par un signal conforme à l'ordonnance du Conseil fédéral sur la signalisation routière (RO 62 I 190 ; 64 I 125 ; 66 I 126 , consid. 2). En restreignant ou en interdisant la circulation de par les pouvoirs qui leur sont conférés, les cantons doivent s'en tenir aux prescriptions générales de la loi sur la circulation des véhicules automobiles. Ils doivent en particulier pourvoir les routes des signaux uniformes prescrits par l'ordonnance précitée. Dans deux arrêts, le Tribunal fédéral a même dit que la validité et la force obligatoire des interdictions cantonales étaient subordonnées à l'apposition de ces signaux (RO 62 I 190 ; 66 I 126 ). Cependant - son argumentation le montre - la Cour de cassation a seulement voulu dire par là qu'un conducteur ne pouvait être puni pour avoir contrevenu à une interdiction de circuler non marquée par un signal correct. Effectivement, l'interdiction est fondée par la règle qu'édicte l'autorité compétente; mais le conducteur qui, à défaut d'un signal apposé sur place, n'a pas connaissance de cette interdiction, ne peut pas être puni pour y avoir contrevenu. En revanche, s'il connaît effectivement la règle applicable, il n'a pas été induit en erreur par le défaut de la signalisation de sorte que ni dans l'action civile, ni dans l'action pénale, il ne peut tirer argument de ce défaut, comme le Tribunal fédéral en a déjà jugé expressément (RO 63 I 51, consid. 2 et 64 II 422). La signalisation de l'interdiction de circuler à la rue du BGE 80 IV 43 S. 47 Petit-Chêne présente une lacune en ce sens qu'aucun signal d'interdiction n'a été placé à l'embouchure de la rue Gibbon. Supposé qu'étant par exemple étranger aux lieux, le recourant n'ait pas connu l'interdiction, il ne pourrait être puni pour y avoir contrevenu. Mais la juridiction cantonale a constaté en fait, liant ainsi la Cour de cassation, qu'il était de mauvaise foi, qu'il savait que la rue était interdite et qu'il l'a néanmoins empruntée uniquement pour éluder la loi et en narguer les représentants. Dans ces circonstances, sa condamnation ne saurait être critiquée du point de vue du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