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35</w:t>
      </w:r>
    </w:p>
    <w:p>
      <w:r>
        <w:t>Bundesgericht (BGE), 1954-01-22, FR</w:t>
      </w:r>
    </w:p>
    <w:p>
      <w:r>
        <w:rPr>
          <w:b/>
        </w:rPr>
        <w:t xml:space="preserve">Quelle: </w:t>
      </w:r>
      <w:r>
        <w:t>https://mcp.opencaselaw.ch/entscheid/bge_BGE_80_IV_35</w:t>
      </w:r>
    </w:p>
    <w:p>
      <w:r>
        <w:t>FR: ATF 80 IV 35</w:t>
      </w:r>
    </w:p>
    <w:p>
      <w:r>
        <w:t>IT: DTF 80 IV 35</w:t>
      </w:r>
    </w:p>
    <w:p>
      <w:pPr>
        <w:pStyle w:val="Heading2"/>
      </w:pPr>
      <w:r>
        <w:t>Regeste</w:t>
      </w:r>
    </w:p>
    <w:p>
      <w:r>
        <w:t>Regeste Art. 191 Ziff. 1 Abs. 2, Ziff. 2 Abs. 5 StGB. Begriff des Lehrlings.</w:t>
      </w:r>
    </w:p>
    <w:p>
      <w:r>
        <w:t>Regeste Art. 191 ch. 1 al. 2 et ch. 2 al. 5 CP. Notion de l'apprenti.</w:t>
      </w:r>
    </w:p>
    <w:p>
      <w:r>
        <w:t>Regesto Art. 191 cifra 1 cp. 2 e cifra 2 cp. 5 CP. Nozione dell'apprendista.</w:t>
      </w:r>
    </w:p>
    <w:p>
      <w:pPr>
        <w:pStyle w:val="Heading2"/>
      </w:pPr>
      <w:r>
        <w:t>Erwägungen</w:t>
      </w:r>
    </w:p>
    <w:p>
      <w:r>
        <w:rPr>
          <w:b/>
        </w:rPr>
        <w:t>E. 1</w:t>
      </w:r>
    </w:p>
    <w:p>
      <w:r>
        <w:t>Bien que les conditions d'engagement d'Adrien Hoeltschi n'aient pas été débattues entre son père et Monnerat, il n'est pas douteux - et le prévenu ne le conteste pas - qu'un contrat de travail a été conclu. Mais l'état de dépendance dans lequel l'adolescent se trouvait envers son patron ne suffit pas à constituer la cause d'aggravation prévue par l'art. 191 ch. 1 al. 2 CP. Si le législateur avait voulu menacer de deux ans de réclusion le délinquant qui prend un employé pour victime, il aurait ou bien complété l'énumération par les mots "employé" et "ouvrier", ainsi qu'il l'a fait à l'art. 135 ch. 1 al. 1 CP, ou bien usé d'une clause générale analogue à celle des art. 197 al. 1 et 202 ch. 2 al. 5. Il est par conséquent impossible d'assimiler à un apprenti n'importe quel employé de moins de 16 ans, d'autant plus que la jurisprudence interdit d'interpréter extensivement l'art. 191 ch. 1 al. 2 CP (RO 71 IV 192 consid. 4). Pour distinguer de l'employé l'apprenti au sens pénal du mot, il faut se rappeler que l'art. 191 ch. 1 al. 2 CP vise des circonstances où la victime se trouve dans un état de dépendance particulière envers le délinquant. Dans le cas de l'apprenti, ce rapport de subordination est caractérisé par l'obligation, assumée par l'employeur, de veiller à l'instruction professionnelle de l'adolescent. Pour que le délinquant puisse être reconnu coupable d'attentat qualifié BGE 80 IV 35 S. 37 à la pudeur d'un enfant, il faut donc en tout cas qu'il soit tenu, en vertu d'un contrat, de pourvoir à la formation professionnelle de sa victime. A cet égard, les critères du droit civil ne sont pas déterminants. Il n'est pas indispensable que le contrat soit conclu par écrit, qu'il règle tous les points indiqués aux art. 325 al. 2 CO et 7 al. 1 LFP, que l'apprenti soit libéré des écoles et ait accompli sa quinzième année (art. 2 al. 1 LFP) ni que la profession faisant l'objet de l'apprentissage soit visée par la loi sur la formation professionnelle.</w:t>
      </w:r>
    </w:p>
    <w:p>
      <w:r>
        <w:rPr>
          <w:b/>
        </w:rPr>
        <w:t>E. 2</w:t>
      </w:r>
    </w:p>
    <w:p>
      <w:r>
        <w:t>Rien, en l'espèce, ne permet d'admettre que Monnerat ait assumé l'obligation de s'occuper de l'instruction professionnelle de Hoeltschi. Il ressort au contraire de l'arrêt attaqué que l'adolescent travaillait comme manoeuvre. Le pourvoi lui-même ne cite aucun fait d'où l'on pourrait inférer que Hoeltschi était l'apprenti de l'intimé. La Cour cantonale a par conséquent eu raison de lui dénier cette qualité.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