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272</w:t>
      </w:r>
    </w:p>
    <w:p>
      <w:r>
        <w:t>Bundesgericht (BGE), 1932-10-17, DE</w:t>
      </w:r>
    </w:p>
    <w:p>
      <w:r>
        <w:rPr>
          <w:b/>
        </w:rPr>
        <w:t xml:space="preserve">Quelle: </w:t>
      </w:r>
      <w:r>
        <w:t>https://mcp.opencaselaw.ch/entscheid/bge_BGE_80_IV_272</w:t>
      </w:r>
    </w:p>
    <w:p>
      <w:r>
        <w:t>FR: ATF 80 IV 272</w:t>
      </w:r>
    </w:p>
    <w:p>
      <w:r>
        <w:t>IT: DTF 80 IV 272</w:t>
      </w:r>
    </w:p>
    <w:p>
      <w:pPr>
        <w:pStyle w:val="Heading2"/>
      </w:pPr>
      <w:r>
        <w:t>Regeste</w:t>
      </w:r>
    </w:p>
    <w:p>
      <w:r>
        <w:t>Regeste Art. 1 ff. Vo. über die Strassensignalisation vom 17. Oktober 1932. Bedeutung von Widersprüchen in der Strassensignalisation, insbesondere wenn das Vortrittsrecht auf der einen Strasse durch eine Ortsbezeichnungstafel (Art. 14 Abs. 3) und auf der anderen durch ein Vortrittsignal (Art. 9 Abs. 5) aufgehoben ist.</w:t>
      </w:r>
    </w:p>
    <w:p>
      <w:r>
        <w:t>Regeste Art. 1er et suiv. de l'ordonnance sur la signalisation routière, du 17 octobre 1932. Effets de contradictions dans la signalisation routière; quid, en particulier, lorsque le droit de priorité est supprimé sur une route par un signal de localité (art. 14 al. 3) et sur l'autre par un signal de priorité de passage (art. 9 al. 5)?</w:t>
      </w:r>
    </w:p>
    <w:p>
      <w:r>
        <w:t>Regesto Art. 1 e sgg. dell'ordinanza 17 ottobre 1932 concernente la segnalazione stradale. Contraddizioni nella segnalazione stradale: quali ne sono gli effetti quando il diritto di precedenza è soppresso su una strada da un segnale indicatore di località (art. 14 cp. 3) e su l'altra strada da un segnale di precedenza (art. 9 cp. 5)?</w:t>
      </w:r>
    </w:p>
    <w:p>
      <w:pPr>
        <w:pStyle w:val="Heading2"/>
      </w:pPr>
      <w:r>
        <w:t>Erwägungen</w:t>
      </w:r>
    </w:p>
    <w:p>
      <w:r>
        <w:rPr>
          <w:b/>
        </w:rPr>
        <w:t>E. 2</w:t>
      </w:r>
    </w:p>
    <w:p>
      <w:r>
        <w:t>Art. 27 Abs. 2 MFG räumt dem auf einer Hauptstrasse Fahrenden den Vortritt ein. Art. 2 des Bundesratsbeschlusses vom 26. März 1934 über die Hauptstrassen mit Vortrittsrecht bestimmt indessen - zulässigerweise ( BGE 65 I 52 , BGE 68 II 125 ) -, dass innerorts bei allen Strassenkreuzungen, -einmündungen und -gabelungen das Vortrittsrecht von rechts gilt. Das heisst, dass der auf der Hauptstrasse Fahrende sich innerorts nicht auf Art. 27 Abs. 2 MFG berufen kann. An welcher Stelle die Innerortsstrecke beginnt, wird verbindlich durch die Vorderseite des Hinweissignals Nr. 23, das sogenannte Ortsbezeichnungssignal, angezeigt (Art. 14 Abs. 3 Vo. vom 17. Oktober 1932 über die Strassensignalisation) ( BGE 66 I 117 ). Diese Regelung ist eindeutig und erlaubt keine Ausnahmen. Insbesondere geht der Beschwerdeführer fehl, zu glauben, sie gelte dann nicht, wenn die Innerortsstrecke "am Rande des Ortes" verlaufe, wie es für die Hauptstrasse Döttingen-Baden in der Innerortszone "Station Siggenthal" zutreffe, weil die von Stilli her einmündende Strasse kein Ortsbezeichnungssignal aufweise. Weder die Verordnung über die Strassensignalisation noch der Bundesratsbeschluss über die Hauptstrassen mit Vortrittsrecht schreibt vor, dass sämtliche in die Innerortsstrecke einmündenden Seitenstrassen ihrerseits mit einem Ortsbezeichnungssignal zu versehen seien, und dass dort, wo solche fehlen, der auf der Hauptstrasse Fahrende das Vortrittsrecht des von rechts Kommenden nicht zu beachten habe. Eine Ausnahme ist auch nicht vorgesehen für den Fall, dass eine Seitenstrasse mit dem Gefahrsignal Nr. 7 (Vortrittsignal) versehen ist; dieses wendet sich ausschliesslich an den Benützer der Seitenstrasse, zumal es von dem auf der Hauptstrasse Fahrenden gar nicht wahrgenommen werden kann. Jeder hat sich an die auf BGE 80 IV 272 S. 275 seiner Strasse aufgestellten Signale zu halten, selbst wenn er, weil er ortskundig ist, auch die auf den anderen Strassen aufgestellten Signale kennt. Das jedenfalls dann, wenn Widersprüche in der Signalisation nicht zu einer Gefährdung des Verkehrs führen können, sondern im Gegenteil Pflichten auferlegen, die Gefahren vorbeugen sollen, wie es im vorliegenden Falle zutraf, wo das Vortrittsrecht für den von Stilli her Kommenden durch das Gefahrsignal Nr. 7 schlechthin, statt durch eine Ortsbezeichnungstafel bloss gegenüber dem von rechts, d.h. von Baden her Kommenden aufgehoben war. Indem der Beschwerdeführer dem von rechts kommenden Wagen des Schraner den Vortritt nicht liess, verging er sich somit objektiv gegen Art. 27 Abs. 1 MFG und Art. 2 des BRB über die Hauptstrassen mit Vortrittsrecht. In subjektiver Hinsicht wird der Beschwerdeführer weder durch Art. 19 noch durch Art. 20 StGB entlastet. Nach der verbindlichen Feststellung des Obergerichtes hat er sich über das Ortsbezeichnungssignal "Station Siggenthal" bewusst hinweggesetzt, hat es also gekannt, sich über den Sachverhalt nicht geirrt, was er in der Beschwerde auch nicht behauptet. Auf Rechtsirrtum sodann könnte er sich nur berufen, wenn zureichende Gründe einen solchen entschuldigten. Davon kann keine Rede sein. Der Widerspruch in der Signalisation berechtigte den Beschwerdeführer nicht zur Annahme, er brauche das an der Strasse Döttingen-Baden aufgestellte Signal nicht zu beachten, sondern er dürfe aus dem an der Strasse Stilli-Station Siggenthal stehenden Signal ein Vortrittsrecht ableiten. Ein gewissenhafter Führer nimmt nicht Rechte in Anspruch, die durch ein an seiner Strasse stehendes Signal aufgehoben sind. Indem der Beschwerdeführer das tat, verhielt er sich pflichtwidrig.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