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243</w:t>
      </w:r>
    </w:p>
    <w:p>
      <w:r>
        <w:t>Bundesgericht (BGE), 1954-01-01, DE</w:t>
      </w:r>
    </w:p>
    <w:p>
      <w:r>
        <w:rPr>
          <w:b/>
        </w:rPr>
        <w:t xml:space="preserve">Quelle: </w:t>
      </w:r>
      <w:r>
        <w:t>https://mcp.opencaselaw.ch/entscheid/bge_BGE_80_IV_243</w:t>
      </w:r>
    </w:p>
    <w:p>
      <w:r>
        <w:t>FR: ATF 80 IV 243</w:t>
      </w:r>
    </w:p>
    <w:p>
      <w:r>
        <w:t>IT: DTF 80 IV 243</w:t>
      </w:r>
    </w:p>
    <w:p>
      <w:pPr>
        <w:pStyle w:val="Heading2"/>
      </w:pPr>
      <w:r>
        <w:t>Regeste</w:t>
      </w:r>
    </w:p>
    <w:p>
      <w:r>
        <w:t>Regeste Art. 159 StGB. a) Begriff der Geschäftsführung (Erw. 1). b) Der Geschäftsführer ist nur strafbar, wenn das schädigende Tun oder Unterlassen pflichtwidrig ist. Pflicht des Geschäftsführers einer Kollektivgesellschaft, deren Vermögen zu mehren (Erw. 2). c) Am Vermögen schädigt der Geschäftsführer den Geschäftsherrn auch, wenn er dessen Vermögen pfiichtwidrig nicht vermehrt (Erw. 3).</w:t>
      </w:r>
    </w:p>
    <w:p>
      <w:r>
        <w:t>Regeste Art. 159 CP. a) Notion de la gestion (consid. 1). b) Le gérant n'est punissable que lorsque l'acte ou l'omission dommageables sont contraires à ses devoirs. Devoir du gérant d'une société en nom collectif d'en augmenter la fortune (consid. 2). c) Le gérant porte aussi atteinte à la fortune dont il a la gestion lorsque, contrairement à ses devoirs, il ne l'augmente pas (consid. 3).</w:t>
      </w:r>
    </w:p>
    <w:p>
      <w:r>
        <w:t>Regesto Art. 159 CP. a) Concetto dell'amministrazione (consid. 1). b) L'amministratore è punibile solo quando l'atto o l'omissione pregiudizievoli siano contrari ai suoi obblighi. Obbligo dell'amministratore di una società in nome collettivo di aumentarne il patrimonio (consid. 2). c) L'amministratore pregiudica il patrimonio di cui ha la cura anche quando, contrariamente ai propri doveri, non l'aumenta (consid. 3).</w:t>
      </w:r>
    </w:p>
    <w:p>
      <w:pPr>
        <w:pStyle w:val="Heading2"/>
      </w:pPr>
      <w:r>
        <w:t>Erwägungen</w:t>
      </w:r>
    </w:p>
    <w:p>
      <w:r>
        <w:rPr>
          <w:b/>
        </w:rPr>
        <w:t>E. 1</w:t>
      </w:r>
    </w:p>
    <w:p>
      <w:r>
        <w:t>Ungetreue Geschäftsführung begeht, "wer jemanden am Vermögen schädigt, für das er infolge einer gesetzlichen oder einer vertraglich übernommenen Pflicht sorgen soll" ( Art. 159 Abs. 1 StGB ). Die Tat setzt somit unter anderem voraus, dass der Täter für fremdes Vermögen "sorgen soll". Gemeint ist, dass er fremde Geschäfte zu BGE 80 IV 243 S. 247 besorgen, d.h. zu führen habe. Das ergibt sich nicht nur aus dem Randtitel, der das in Art. 159 StGB umschriebene Vergehen als "ungetreue Geschäftsführung" und im französischen Text als "gestion déloyale" bezeichnet. Auch das schweizerische Obligationenrecht setzt die Begriffe der Geschäftsführung, der Geschäftsbesorgung und der "gestion" bzw. des Geschäftsführers und des "gérant" einander gleich (s. Art. 419 ff. OR ) und gibt "Geschäfte besorgen" mit "gérer" wieder ( Art. 394, 419 OR ). Dem französischen Worte "veiller" (sur les intérêts pécuniaires d'autrui) in Art. 159 StGB darf kein weiterer Sinn entnommen werden als dem Worte "gérer". Ob Geschäftsführung nur inne hat, wer für einen andern Rechtsgeschäfte abzuschliessen, oder auch, wer für fremdes Vermögen lediglich tatsächlich zu sorgen, z.B. es zu verwahren, zu unterhalten, zu bewachen, zu transportieren hat, kann dahingestellt bleiben. Denn E. B. als geschäftsführender Gesellschafter und seine ihm in dieser Stellung als Prokuristin beigeordnete Ehefrau haben für das Vermögen der B. &amp; Cie durch Abschluss von Rechtsgeschäften zu sorgen gehabt, wird ihnen doch gerade vorgeworfen, sie hätten sich der ungetreuen Geschäftsführung dadurch schuldig gemacht, dass sie bestimmte Verträge pflichtwidrig nicht für B. &amp; Cie abschlossen. Die zur Anwendung des Art. 159 StGB gehörende Stellung zum Vermögen der Gesellschaft kam ihnen zu.</w:t>
      </w:r>
    </w:p>
    <w:p>
      <w:r>
        <w:rPr>
          <w:b/>
        </w:rPr>
        <w:t>E. 2</w:t>
      </w:r>
    </w:p>
    <w:p>
      <w:r>
        <w:t>Nach dem Wortlaut des Art. 159 Abs. 1 StGB würde die (vorsätzliche) Schädigung des Vermögens, für das der Täter zu sorgen hat, genügen. Das ist indessen nicht der Sinn der Bestimmung. Der Geschäftsführer macht sich nur strafbar, wenn das schädigende Tun oder Unterlassen seinen gesetzlichen oder vertraglich übernommenen Pflichten widerspricht. Um solcher Pflichtverletzung willen wird die Geschäftsführung als "ungetreu" bezeichnet und Strafe angedroht. Der Auffassung der Beschwerdegegner, ihr Verhalten sei nicht pflichtwidrig gewesen, weil dem Geschäftsführer nur BGE 80 IV 243 S. 248 die Erhaltung vorhandenen Vermögens, nicht auch dessen Mehrung obliege, ist indessen nicht beizupflichten. Welche Pflichten ein Geschäftsführer hat, hängt von der Vereinbarung der Parteien und vom Gesetze ab. Darnach kann ein Geschäftsführer durchaus gehalten sein, das seiner Sorge unterstellte Vermögen zu mehren. Das trifft z.B. zu für den Vormund, der es zinstragend anzulegen hat (vgl. Art. 401 ZGB ), aber auch für den Geschäftsführer eines Handelsgeschäftes, in dem Vermögen nicht lediglich zu seiner Erhaltung, sondern zu Erwerbszwecken angelegt wird. Etwas anderes ergibt sich auch nicht im vorliegenden Falle. Der Gesellschaftsvertrag nannte als Zweck der Gesellschaft den Vertrieb von...maschinen,...apparaten usw., sah die Verzinsung der Kapitaleinlagen, die Auszahlung von Gehältern und Abschreibungen auf dem Geschäftsvermögen vor und regelte die Verteilung des nach Bestreitung sämtlicher Geschäftsunkosten verbleibenden Reingewinnes. Es liegt daher auf der Hand, dass die Gesellschaft die Mehrung ihres Vermögens bezweckte und dass die Geschäftsführung der Beschwerdegegner darauf ausgerichtet sein musste, dass insbesondere gewinnnbringende Verträge betreffend Lieferung der von der Gesellschaft vertriebenen Erzeugnisse abzuschliessen waren. Weisungen an die Vertreter der B. &amp; Cie, solche Verträge im Namen der Konkurrenzunternehmung, nämlich der neuen Aktiengesellschaft oder des E. B. persönlich abzuschliessen, und dahingehende Bearbeitung der Kunden war umsomehr pflichtwidrig, als der Gesellschaftsvertrag zulasten des E. B. ein Konkurrenzverbot enthielt und auch Frau A. B. als Dienstpflichtige und Prokuristin gegenüber der B. &amp; Cie zu Treue verpflichtet war und weder für eigene Rechnung noch für Rechnung eines Dritten Geschäfte machen durfte ( Art. 464 OR ).</w:t>
      </w:r>
    </w:p>
    <w:p>
      <w:r>
        <w:rPr>
          <w:b/>
        </w:rPr>
        <w:t>E. 3</w:t>
      </w:r>
    </w:p>
    <w:p>
      <w:r>
        <w:t>Aus der Wendung des Art. 159 StGB , dass der Täter jemanden "am Vermögen" geschädigt haben müsse, schliesst die Überweisungsbehörde zu Unrecht, die Bestimmung sei nur anzuwenden, wenn das vorhandene Vermögen BGE 80 IV 243 S. 249 vermindert, nicht auch, wenn es pflichtwidrig nicht vermehrt worden ist. Wer durch Untreue seines Geschäftsführers um einen Vermögenszuwachs kommt, den dieser herbeizuführen verpflichtet war, ist auch "am Vermögen geschädigt". Das erhellt namentlich aus dem französischen Text, der von "intérêts pécuniaires", also allgemein von Vermögensinteressen spricht, die der Täter verletze. Ein Vermögensinteresse hat der Geschäftsherr auch am Abschluss gewinnbringender Verträge. Obschon die Ansprüche aus solchen vor dem Abschluss nicht bestehen, also noch nicht Bestandteil seines Vermögens bilden, sollen sie es doch werden. Es besteht kein sachlicher Grund, in der pflichtwidrigen Verhinderung dieses Erwerbes durch den Geschäftsführer nicht ebenso eine ungetreue Geschäftsführung zu sehen wie in der pflichtwidrigen Veräusserung oder Beeinträchtigung der dem Geschäftsherrn bereits zustehenden Vermögenswerte. Die Überlegung der Vorinstanz, es würde zu einer "unsinnigen Ausdehnung der strafrechtlich erfassbaren Vertragsverletzungen" führen, wenn Art. 159 StGB auf die ungetreue Verhinderung eines Vermögenserwerbes angewendet würde, schlägt nicht durch. Entscheidend ist nicht, ob solche Untreue von Geschäftsführern mehr oder weniger häufig vorkommt, sondern ob der Gesetzgeber Grund gehabt hat, sie als ebenso verwerflich anzusehen wie die Untreue durch pflichtwidrige Schädigung an bereits erworbenem Vermögen. Daran aber ist nicht zu zweifeln. Die Untreue wiegt in beiden Fällen annähernd gleich schwer. Die unterschiedliche Behandlung wäre daher stossend. Von einer Schädigung an noch nicht erworbenem Vermögen kann jedoch nur die Rede sein, wenn durch pflichtgemässes Verhalten des Geschäftsführers der Erwerb eingetreten wäre. Das setzt im vorliegenden Falle voraus, dass die Kunden die mit der Aktiengesellschaft E. B. persönlich abgeschlossenen Verträge ohne das pflichtwidrige Verhalten der Beschwerdegegner mit der B. &amp; Cie eingegangen wären. Die Beschwerdegegner bestreiten das, indem BGE 80 IV 243 S. 250 sie behaupten, die Kunden hätten nur mit Rücksicht auf die Person des E. B. bestellt. Auf diese Behauptung ist nicht einzutreten. Die Überweisungsbehörde führt im angefochtenen Beschlusse aus, es bedeute für die B. &amp; Cie zweifellos ein Nachteil, dass Ansprüche auf Gewinn für sie durch das Vorgehen der Beschwerdegegner nicht entstanden seien. Darin liegt zugleich die Feststellung, dass ohne deren Machenschaften die Kunden bei der B. &amp; Cie bestellt hätten. Der Kassationshof ist an diese tatsächliche Feststellung gebunden. Es ist deshalb davon auszugehen, dass die B. &amp; Cie durch die in Frage stehenden Pflichtverletzungen der Beschwerdegegner geschädigt worden ist.</w:t>
      </w:r>
    </w:p>
    <w:p>
      <w:r>
        <w:rPr>
          <w:b/>
        </w:rPr>
        <w:t>E. 4</w:t>
      </w:r>
    </w:p>
    <w:p>
      <w:r>
        <w:t>Die Beschwerdegegner bestreiten den Vorsatz. Ob er vorhanden war, bleibt dem Entscheid der kantonalen Behörden, sei es der Überweisungsbehörde, sei es dem urteilenden Gerichte vorbehalten; die Vorinstanz hat diese Frage noch nicht geprüft. Dispositiv Demnach erkennt der Kassationshof: Die Nichtigkeitsbeschwerde wird gutgeheissen, der Beschluss der Überweisungsbehörde des Kantons Basel-Stadt vom 17. August 1954 aufgehoben und die Sache zu neuer Entscheidung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