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234</w:t>
      </w:r>
    </w:p>
    <w:p>
      <w:r>
        <w:t>Bundesgericht (BGE), 1954-01-01, DE</w:t>
      </w:r>
    </w:p>
    <w:p>
      <w:r>
        <w:rPr>
          <w:b/>
        </w:rPr>
        <w:t xml:space="preserve">Quelle: </w:t>
      </w:r>
      <w:r>
        <w:t>https://mcp.opencaselaw.ch/entscheid/bge_BGE_80_IV_234</w:t>
      </w:r>
    </w:p>
    <w:p>
      <w:r>
        <w:t>FR: ATF 80 IV 234</w:t>
      </w:r>
    </w:p>
    <w:p>
      <w:r>
        <w:t>IT: DTF 80 IV 234</w:t>
      </w:r>
    </w:p>
    <w:p>
      <w:pPr>
        <w:pStyle w:val="Heading2"/>
      </w:pPr>
      <w:r>
        <w:t>Regeste</w:t>
      </w:r>
    </w:p>
    <w:p>
      <w:r>
        <w:t>Regeste Art. 112 StGB, Mord. Umstände und Überlegung, die eine besonders verwerfliche Gesinnung des Täters offenbaren; Verminderung der Willensfreiheit schliesst sie nicht aus.</w:t>
      </w:r>
    </w:p>
    <w:p>
      <w:r>
        <w:t>Regeste Art. 112 CP, assassinat. Circonstances et préméditation dénotant que le délinquant est particulièrement pervers; une liberté de volonté diminuée n'exclut pas l'existence de pareilles circonstances et préméditation.</w:t>
      </w:r>
    </w:p>
    <w:p>
      <w:r>
        <w:t>Regesto Art. 112 CP, assassinio. Circostanze e premeditazione che rivelano una particolare perversità del delinquente; una menomazione del libero arbitrio non esclude la perversità.</w:t>
      </w:r>
    </w:p>
    <w:p>
      <w:pPr>
        <w:pStyle w:val="Heading2"/>
      </w:pPr>
      <w:r>
        <w:t>Erwägungen</w:t>
      </w:r>
    </w:p>
    <w:p>
      <w:r>
        <w:rPr>
          <w:b/>
        </w:rPr>
        <w:t>E. 1</w:t>
      </w:r>
    </w:p>
    <w:p>
      <w:r>
        <w:t>Mord ( Art. 112 StGB ) unterscheidet sich von der vorsätzlichen Tötung ( Art. 111 StGB ) dadurch, dass der Mörder "unter Umständen oder mit einer Überlegung tötet, die seine besonders verwerfliche Gesinnung oder seine Gefährlichkeit offenbaren". Das Obergericht hat die Gefährlichkeit der Beschwerdeführerin verneint, dagegen ihre besonders verwerfliche Gesinnung bejaht. Es schliesst auf solche Gesinnung aus den Umständen der Tat (äusserer Hergang, Vorgeschichte, Beweggrund) und weil die Beschwerdeführerin mit Überlegung gehandelt habe. Damit verkennt das Obergericht, dass die Überlegung als solche weder allein noch in Verbindung mit den Umständen der Tat Merkmal des Mordes ist. Die Tat kann mit BGE 80 IV 234 S. 238 Überlegung (préméditation, premeditazione) begangen worden und dennoch nur vorsätzliche Tötung sein, z.B. in dem schon in den Erläuterungen zum Vorentwurf (S. 120) und in der Botschaft des Bundesrates (S. 31) erwähnten und auch in der Bundesversammlung angeführten Falle, dass eine arme Witwe nach langen Seelenkämpfen aus Verzweiflung mit ihrem Kinde ins Wasser geht und lebend herausgezogen wird, während das Kind umkommt. Wie der Kassationshof schon in BGE 70 IV 7 ausgeführt hat, liegt das Kennzeichen des Mordes nicht in der Überlegung, sondern in der Gefährlichkeit oder der besonders verwerflichen Gesinnung des Täters, die in der von ihm angestellten Überlegung oder auch bloss in den Umständen der Tat zum Ausdruck kommen. Wenn der Richter nicht schon allein aus den Umständen der Tat auf besonders verwerfliche Gesinnung schliesst und damit die Tat als Mord würdigt, sondern auch die Überlegungen berücksichtigt, die der Täter vor der Begehung gemacht und die ihn zur Tat bewogen haben, ist daher zu erwägen, ob sie die Gesinnung des Täters wirklich als besonders verwerflich erscheinen lassen.</w:t>
      </w:r>
    </w:p>
    <w:p>
      <w:r>
        <w:rPr>
          <w:b/>
        </w:rPr>
        <w:t>E. 2</w:t>
      </w:r>
    </w:p>
    <w:p>
      <w:r>
        <w:t>Im vorliegenden Falle trifft das zu. Die Überlegung der Beschwerdeführerin, sie wolle ihren Ehemann und ihren Vater umbringen, damit sie nicht erführen, in welche Lage sie die Familie durch ihre Schuldenmacherei gebracht hatte, insbesondere damit sie die Versteigerung der gepfändeten Sachen nicht erlebten, verrät einen besonders hohen Grad von Unmoral. Wie das Obergericht verbindlich feststellt, handelte die Beschwerdeführerin rein aus Egoismus. Sie wollte die beiden Haupturheber möglicher Vorwürfe aus der Welt schaffen; es war ihr nicht darum zu tun, ihnen die Schande der Versteigerung oder des drohenden Verlustes des Heimes zu ersparen; das war nur ein vorgeschobener Beweggrund, mit dem sie ihre Verbrechen vor sich selbst und anderen zu rechtfertigen versuchte. Die Beschwerdeführerin handelte umso verwerflicher, als sie nicht unverschuldet in Not geraten, sondern durch Misswirtschaft, BGE 80 IV 234 S. 239 die auf eine Vergnügungs- und Geltungssucht zurückging, in die bedrängte Lage gekommen war und es auch ihrer eigenen verfehlten Einstellung zuzuschreiben hatte, dass die beiden Männer noch nicht wussten, was der Familie drohte. Dass der Ehemann anlässlich früherer Betreibungen geschimpft hatte, mildert die Verwerflichkeit der Gesinnung der Beschwerdeführerin nicht. Das Schimpfen war durchaus berechtigt gewesen, und dass der Ehemann dabei besondere Bosheit oder eine drohende Haltung an den Tag gelegt oder die Beschwerdeführerin sogar geschlagen habe, behauptet sie nicht. Die zunehmende Angst der Beschwerdeführerin war objektiv unbegründet und ging subjektiv nur auf eine abwegige Charakterveranlagung zurück. Soweit diese die Willensfreiheit im Zeitpunkt der Tat herabsetzte, wurde ihr durch Milderung der Strafe Rechnung getragen. An der besonderen Verwerflichkeit der Gesinnung der Täterin ändert sie nichts. Gesinnung ist nicht, wie der Verteidiger annimmt, gleichbedeutend mit Fähigkeit des Besinnens im Augenblick der Tat. Verminderung der Willensfreiheit ändert an der Gesinnung nichts, die den Täter mit dem vorhandenen Teil von Willensfreiheit, für den er einzustehen hat, zum Verbrechen treibt. Ob die Gesinnung des vermindert Einsichtsfähigen gleich zu beurteilen sei wie die des voll Einsichtsfähigen, kann sich im vorliegenden Falle nicht fragen, da die Sachverständigen und das Obergericht der Beschwerdeführerin entgegen der Behauptung des Verteidigers die Fähigkeit, das Unrecht ihrer Taten voll einzusehen, nicht abgesprochen haben. Die Beschwerdeführerin hätte sich insbesondere auch sagen können und sollen, dass sie ihren sieben Kindern schweres Unrecht zufüge, ihnen den Vater und den Grossvater für immer zu entreissen. Wer durch solche Bedenken egoistische Regungen, wie die Beschwerdeführerin ihnen erlegen ist, nicht zu überwinden vermag, obschon er mehr als zwei Tage und Nächte über die Tat brütet, bekundet eine besonders verwerfliche Gesinnung. BGE 80 IV 234 S. 240</w:t>
      </w:r>
    </w:p>
    <w:p>
      <w:r>
        <w:rPr>
          <w:b/>
        </w:rPr>
        <w:t>E. 3</w:t>
      </w:r>
    </w:p>
    <w:p>
      <w:r>
        <w:t>Die Umstände der Tat offenbaren übrigens gleiche Gesinnung. Zu diesen Umständen gehören hier schon die Bande des Blutes und der Ehe, mit denen die Beschwerdeführerin und ihre Opfer verbunden waren. Es bedarf eines aussergewöhnlichen Grades von Gefühlsrohheit, aus dem hier festgestellten Beweggrunde den eigenen Vater und den Ehemann zu töten. Das gewählte Mittel, ihnen mit mehreren Axtschlägen den Schädel zu zertrümmern, erhöht die Scheusslichkeit der Tat. Dass die Opfer schliefen, ersparte ihnen zwar Schmerzen, zeugt aber von Feigheit der Täterin und abgründigem Missbrauch des Vertrauens, das die Glieder einer in Hausgemeinschaft lebenden Familie einander entgegenbringen und das insbesondere zwischen Ehegatten und Blutsverwandten des ersten Grades besteht. Die Verwerflichkeit der Gesinnung der Beschwerdeführerin wird auch erhöht durch die Häufung zweier Verbrechen in ein und derselben Nacht, wobei das zweite erst endgültig beschlossen wurde, als das erste schon begangen war. Nur roheste Gesinnung kann es einem Weibe ermöglichen, am eigenen Manne eine so abscheuliche Tat, wie sie zuvor am Vater begangen wurde, zu wiederholen und sich nachher für mehrere Stunden neben die blutüberströmte Leiche zu Bette zu legen.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