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218</w:t>
      </w:r>
    </w:p>
    <w:p>
      <w:r>
        <w:t>Bundesgericht (BGE), 1954-01-01, DE</w:t>
      </w:r>
    </w:p>
    <w:p>
      <w:r>
        <w:rPr>
          <w:b/>
        </w:rPr>
        <w:t xml:space="preserve">Quelle: </w:t>
      </w:r>
      <w:r>
        <w:t>https://mcp.opencaselaw.ch/entscheid/bge_BGE_80_IV_218</w:t>
      </w:r>
    </w:p>
    <w:p>
      <w:r>
        <w:t>FR: ATF 80 IV 218</w:t>
      </w:r>
    </w:p>
    <w:p>
      <w:r>
        <w:t>IT: DTF 80 IV 218</w:t>
      </w:r>
    </w:p>
    <w:p>
      <w:pPr>
        <w:pStyle w:val="Heading2"/>
      </w:pPr>
      <w:r>
        <w:t>Regeste</w:t>
      </w:r>
    </w:p>
    <w:p>
      <w:r>
        <w:t>Regeste Art. 41 Ziff. 3 Abs. 1 StGB. Recht und Pflicht des Richters, den Vollzug einer bedingt aufgeschobenen Strafe anzuordnen, sind nicht befristet.</w:t>
      </w:r>
    </w:p>
    <w:p>
      <w:r>
        <w:t>Regeste Art. 41 ch. 3 al. 1 CP. Le droit et le devoir du juge de révoquer le sursis ne sont soumis à aucun délai.</w:t>
      </w:r>
    </w:p>
    <w:p>
      <w:r>
        <w:t>Regesto Art. 41 cifra 3 cp. 1 CP. Il diritto e il dovere del giudice di revocare il beneficio della sospensione condizionale della pena non sono limitati nel tempo.</w:t>
      </w:r>
    </w:p>
    <w:p>
      <w:pPr>
        <w:pStyle w:val="Heading2"/>
      </w:pPr>
      <w:r>
        <w:t>Erwägungen</w:t>
      </w:r>
    </w:p>
    <w:p>
      <w:r>
        <w:rPr>
          <w:b/>
        </w:rPr>
        <w:t>E. 1</w:t>
      </w:r>
    </w:p>
    <w:p>
      <w:r>
        <w:t>Der Kassationshof hat in BGE 78 IV 8 ausgeführt, dass Recht und Pflicht des Richters, gemäss Art. 41 Ziff. 3 StGB bei Täuschung des Vertrauens den Vollzug der bedingt aufgeschobenen Strafe anzuordnen, nicht befristet seien; die Bundesversammlung habe bei der Beratung des Gesetzes entgegen dem bundesrätlichen Entwurfe die genannte Befugnis des Richters zeitlich nicht begrenzt, weshalb dieser nicht unter Berufung auf eine angebliche Lücke des Gesetzes eine Befristung doch einführen dürfe. Diese Rechtsprechung wurde, nachdem der Kassationshof in BGE 78 IV 223 in gleichem Sinne für Art. 96 Abs. 3 StGB entschieden hatte, in BGE 79 IV 110 bestätigt. Demgegenüber verweist das Obergericht darauf, dass in der nationalrätlichen Kommission Huber beantragt hatte, für die Fälle, in denen der Vollstreckungsbeschluss nicht während der Probezeit ergehe, ihn einer Verjährungsfrist auszusetzen, worauf die Bestimmung an die Subkommission gewiesen worden sei und Logoz dann als Ergebnis ihrer Beratung die heutige Fassung des Art. 74 vorgeschlagen habe. Angesichts dieses Beratungsverlaufes hält das Obergericht nicht für ausgeschlossen, dass man im Bestreben, den Beginn der Vollstreckungsverjährung bei bedingter Verurteilung genau festzulegen, übersehen habe, dass mit der BGE 80 IV 218 S. 221 Anknüpfung der Vollstreckungsverjährung an den veränderlichen Zeitpunkt der Vollzugsanordnung diese unbegrenzt möglich wäre. Dieser Schluss ist erstaunlich. Die Kommissionsmitglieder und die Bundesversammlung können die erwähnte Folge unmöglich übersehen haben. Wenn eine Befristung des Vollstreckungsbeschlusses nicht in das Gesetz aufgenommen wurde, obwohl in der Kommission des Nationalrates ausdrücklich eine solche vorgeschlagen wurde, ist das eine weitere klare Bestätigung dafür, dass man sie nicht wollte. Insbesondere muss der Antragsteller wahrgenommen haben, dass sein Vorschlag in der Fassung, wie sie von Logoz als Ergebnis der Beratung der Subkommission beantragt wurde, nicht berücksichtigt war. Umso berechtigter ist daher die Annahme des Kassationshofes in BGE 78 IV 9 , es könne der Bundesversammlung nicht entgangen sein, dass durch die am Entwurf des Bundesrates vorgenommene Änderung die zeitliche Grenze aufgehoben worden sei, die der Entwurf dem richterlichen Entscheid auf Anordnung des Strafvollzuges gesetzt habe.</w:t>
      </w:r>
    </w:p>
    <w:p>
      <w:r>
        <w:rPr>
          <w:b/>
        </w:rPr>
        <w:t>E. 2</w:t>
      </w:r>
    </w:p>
    <w:p>
      <w:r>
        <w:t>Bei dieser Rechtslage kann von einer Gesetzeslücke, die, wie das Obergericht es tut, unter Berufung auf die ratio legis auszufüllen wäre, nicht die Rede sein. Obwohl der Verjährung der Gedanke zu Grunde liegt, dass der sogenannte Strafanspruch des Staates nach einer gewissen Zeit untergehen soll, so heisst das doch nicht notwendig, dass auch der Schwebezustand, der zwischen der Verurteilung zu einer bedingt aufgeschobenen Strafe und der Anordnung ihres Vollzuges besteht, zeitlich begrenzt sein müsse. Unbestreitbar hätte es nahe gelegen, im Gesetz eine solche Befristung einzuführen oder sonstwie dafür zu sorgen, dass die Anordnung des Vollzuges nicht allzulange auf sich warten lasse. Allein eine Lücke ist dadurch, dass eine solche Vorschrift nicht aufgestellt wurde, im System des Gesetzes nicht entstanden. Normalerweise verstreicht nicht "ungebührlich lange Zeit", bis der Strafvollzug angeordnet wird. Wegen blosser allfälliger Ausnahmen aber BGE 80 IV 218 S. 222 konnte eine Befristung als entbehrlich erachtet werden, ohne dass das Gesetz damit sich selber widerspräche. Wie wenig eine Gesetzeslücke vorliegt, zeigt auch der Umstand, dass keineswegs klar zutage liegt, wie sie auszufüllen wäre, sind doch dem Kassationshof bis heute fünf verschiedene Lösungen vorgeschlagen worden: je eine in den Fällen BGE 78 IV 9 und BGE 79 IV 111 und nunmehr drei weitere im vorliegenden Verfahren. Wenn schon eine Auswahl aus solcher Vielfalt möglicher Regelungen getroffen werden müsste, so deutet das eher auf eine gesetzgeberische als auf eine richterliche Entscheidung hin.</w:t>
      </w:r>
    </w:p>
    <w:p>
      <w:r>
        <w:rPr>
          <w:b/>
        </w:rPr>
        <w:t>E. 3</w:t>
      </w:r>
    </w:p>
    <w:p>
      <w:r>
        <w:t>Die Lösung, die der Beschwerdeführer im kantonalen Verfahren vertreten hat, wäre auf jeden Fall völlig unbrauchbar gewesen; denn was die Verfolgungsverjährung für das während der Probezeit begangene Delikt mit der zeitlichen Zulässigkeit der Anordnung des Vollzuges der früher ausgefällten Strafe zu tun haben sollte, ist nicht einzusehen. Ebenso bezeichnet die Vorinstanz den Vorschlag der Staatsanwaltschaft (Beginn der Vollstreckungsfrist mit dem Tage, an dem der Vollzug hätte angeordnet werden können und sollen) mit Recht als unbefriedigend, da er der genauen Fixierung entbehre und zu Zweifeln Anlass geben könnte. Bei der Lösung der Vorinstanz (Beginn der Vollstreckungsverjährung spätestens mit dem Ablauf der Probezeit), die der Beschwerdeführer eventuell mit der seinigen verbinden möchte, würde die Frist unter Umständen zu laufen beginnen, bevor die Vollstreckung überhaupt möglich wäre. Abgesehen hievon wäre hier, wie das Obergericht ausführt, die Verjährung auch bei dieser Lösung noch gar nicht eingetreten. Daher war die Beschwerde selbst auf dieser Grundlage aussichtslos. Dem ist bei Bemessung der Gerichtsgebühr Rechnung zu tragen.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