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196</w:t>
      </w:r>
    </w:p>
    <w:p>
      <w:r>
        <w:t>Bundesgericht (BGE), 1954-01-01, DE</w:t>
      </w:r>
    </w:p>
    <w:p>
      <w:r>
        <w:rPr>
          <w:b/>
        </w:rPr>
        <w:t xml:space="preserve">Quelle: </w:t>
      </w:r>
      <w:r>
        <w:t>https://mcp.opencaselaw.ch/entscheid/bge_BGE_80_IV_196</w:t>
      </w:r>
    </w:p>
    <w:p>
      <w:r>
        <w:t>FR: ATF 80 IV 196</w:t>
      </w:r>
    </w:p>
    <w:p>
      <w:r>
        <w:t>IT: DTF 80 IV 196</w:t>
      </w:r>
    </w:p>
    <w:p>
      <w:pPr>
        <w:pStyle w:val="Heading2"/>
      </w:pPr>
      <w:r>
        <w:t>Regeste</w:t>
      </w:r>
    </w:p>
    <w:p>
      <w:r>
        <w:t>Regeste Art. 27 MFG. Der Vortritt steht dem Berechtigten auf der ganzen Schnittfläche der sich kreuzenden oder vereinigenden Strassen zu. Bedeutung des vorschriftswidrigen Linksfahrens des Vortrittsberechtigten für den subjektiven Tatbestand der Nichtbelassung des Vortrittes.</w:t>
      </w:r>
    </w:p>
    <w:p>
      <w:r>
        <w:t>Regeste Art. 27 LA. La priorité de passage s'étend à toute la surface qui constitue le croisement ou la jonction des routes. Conséquences, pour les éléments subjectifs du droit de priorité, du fait que le titulaire de ce droit a circulé à gauche, contrairement à la règle.</w:t>
      </w:r>
    </w:p>
    <w:p>
      <w:r>
        <w:t>Regesto Art. 27 LA. La precedenza del passaggio si estende a tutto il raggio dell'incrocio o della riunione di strade. Rilevanza, per l'estremo soggettivo dell'inosservanza della precedenza, delfatto che colui cui spettava tale diritto circolava abusivamente a sinistra.</w:t>
      </w:r>
    </w:p>
    <w:p>
      <w:pPr>
        <w:pStyle w:val="Heading2"/>
      </w:pPr>
      <w:r>
        <w:t>Erwägungen</w:t>
      </w:r>
    </w:p>
    <w:p>
      <w:r>
        <w:rPr>
          <w:b/>
        </w:rPr>
        <w:t>E. 1</w:t>
      </w:r>
    </w:p>
    <w:p>
      <w:r>
        <w:t>Gemäss Art. 27 Abs. 1 MFG, der auch für Radfahrer gilt (Art. 30 MFG), hatte Haller, weil er von rechts kam, das Vortrittsrecht. Der Beschwerdeführer will das nicht gelten lassen, weil Haller die Biegung kurz genommen habe und schon auf der Aarauerstrasse gefahren sei, als er durch Abbiegen nach rechts sich angeschickt habe, diese vor dem Personenwagen hindurch zu überqueren. BGE 80 IV 196 S. 199 Diese Auffassung widerspricht dem verbindlich festgestellten Sachverhalt. Das Obergericht geht davon aus, dass die Feststellungen des Bezirksgerichts zutreffen. Dieses aber hat den von Haller eingeschlagenen Weg in einer bei den Akten liegenden Planskizze festgehalten. Aus ihr ergibt sich, dass der Radfahrer, wenn auch erheblich links in der trichterförmigen Ausweitung der Bahnhofstrasse, so doch deutlich vor Erreichung der Fahrbahn der Aarauerstrasse, wie sie aus der Verlängerung ihrer Randlinie über die Einmündung hinaus zu erkennen ist, die Schwenkung nach rechts vollzogen hat. Es liegt daher objektiv nicht ein Fall begonnenen Linksausweichens zweier auf der gleichen Strasse sich bewegender Fahrzeuge vor, sondern ein Fall gleichzeitigen Eintreffens an einer Strasseneinmündung. Dass Haller, wenn er entsprechend der Vorschrift des Art. 26 MFG rechts gefahren wäre, die Fahrbahn des Beschwerdeführers weiter nördlich überquert hätte, ändert nichts. Art. 27 Abs. 1 MFG schreibt dem Führer vor, "bei" Strassengabelungen und -kreuzungen dem von rechts Kommenden den Vortritt zu lassen, beschränkt also objektiv das Vortrittsrecht des letztern nicht auf bestimmte Stellen des Einmündungsgebietes. Zu diesem gehört entgegen BGE 66 I 122 die ganze Schnittfläche der beiden Strassen, wie sie sich aus ihrer trichterförmigen Ausweitung ergibt; denn auf dieser Fläche können von der einen wie von der anderen Strasse aus gleichzeitig Fahrzeuge eintreffen. Es entstände eine erhebliche Unsicherheit darüber, wer vortrittsberechtigt sei, wenn trotz gleichzeitigen Eintreffens zweier Fahrzeuge das Vortrittsrecht davon abhinge, ob das eine etwas mehr rechts oder etwas mehr links fährt. Wer sich der Einmündung nähert, kann oft auch gar nicht schon von weitem erkennen, ob der andere in der Einmündung korrekt rechts fahren wird. Vollends verwirrlich wäre die Lage, wenn, wie im vorliegenden Falle, nicht nur das eine, sondern auch das andere Fahrzeug zu stark links fährt. Es ist nicht zu ersehen, aus welchem Grunde der BGE 80 IV 196 S. 200 eine Führer unter Berufung auf die unkorrekte Fahrweise des andern von Art. 27 MFG sollte abweichen dürfen obschon er selber auch unrichtig gefahren ist. Unfälle können am ehesten vermieden werden, wenn jeder der gleichzeitig an der Einmündung oder Kreuzung Eintreffenden sich streng an diese Bestimmung hält, auch wenn der andere zu stark links fährt oder irgend einen anderen Fehler begeht. Das Gebot des Rechtsfahrens (Art. 26 Abs. 1 und 2 MFG) wurde denn auch bloss erlassen, um zu verhüten, dass Fahrzeuge einander gefährden, deren Wege in entgegengesetzter oder gleicher Richtung verlaufen, also parallel liegen; das ist nicht eine Regel für das gegenseitige Verhalten von Fahrzeugen, deren Wege an einer Kreuzung oder Einmündung notwendigerweise sich überschneiden oder vereinigen. Obschon Haller die Biegung zu eng genommen hat, bleibt es somit dabei, dass objektiv der Beschwerdeführer das Vortrittsrecht des Radfahrers missachtet hat.</w:t>
      </w:r>
    </w:p>
    <w:p>
      <w:r>
        <w:rPr>
          <w:b/>
        </w:rPr>
        <w:t>E. 2</w:t>
      </w:r>
    </w:p>
    <w:p>
      <w:r>
        <w:t>Vom objektiven Verstoss gegen Art. 27 MFG ist die Frage zu unterscheiden, ob er vom Täter verschuldet sei. Unter diesem Gesichtspunkt ist denkbar, dass vorschriftswidriges Linksfahren des Vortrittsberechtigten den andern entlaste, nämlich wenn dieser die unrichtige Fahrweise des Vortrittsberechtigten nicht voraussehen konnte und nur dadurch zur Verletzung des Vortrittsrechts bestimmt wurde. So wird an unübersichtlichen Kreuzungen oder Einmündungen in der Regel jeder sich soweit hinter dem die Sicht beeinträchtigenden Objekt hervorwagen dürfen, als es ohne Gefährdung eines korrekt rechts fahrenden Vortrittsberechtigten möglich ist. Zugunsten des Beschwerdeführers lässt sich jedoch daraus nichts ableiten. Der Beschwerdeführer hat den Radfahrer von weitem gesehen und erkennen können, dass er die Biegung eng nahm. Er konnte deshalb rechtzeitig voraussehen, dass die Wege der beiden Fahrzeuge sich weiter südlich schneiden würden, als es bei vorschriftsgemässer Fahrweise Hallers der Fall gewesen wäre. Er behauptet BGE 80 IV 196 S. 201 denn auch nicht, dass er dem Radfahrer den Vortritt nicht hätte lassen können, wenn er, der Beschwerdeführer verlangsamt hätte und rechts geblieben wäre, als er den andern erblickte. Statt das zu tun, ist der Beschwerdeführer durch Linksfahren und Beibehalten der Geschwindigkeit darauf ausgegangen, einen ihm nicht zustehenden Vortritt zu erzwingen. Das war disziplinlos. Der Beschwerdeführer durfte nicht voraussetzen, dass der Radfahrer auf das Vortrittsrecht verzichten werde. Auch der Umstand, dass Haller plötzlich rechts schwenkte, entschuldigt den Beschwerdeführer nicht. Schon bevor es zu dieser Schwenkung kam, hätte der Beschwerdeführer die Fahrt verlangsamen sollen, um dem Radfahrer den Vortritt zu lassen. Dann hätte die Schwenkung, wenn sie überhaupt stattgefunden hätte, nicht zu einem Zusammenstoss geführt.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