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15</w:t>
      </w:r>
    </w:p>
    <w:p>
      <w:r>
        <w:t>Bundesgericht (BGE), 1954-01-01, DE</w:t>
      </w:r>
    </w:p>
    <w:p>
      <w:r>
        <w:rPr>
          <w:b/>
        </w:rPr>
        <w:t xml:space="preserve">Quelle: </w:t>
      </w:r>
      <w:r>
        <w:t>https://mcp.opencaselaw.ch/entscheid/bge_BGE_80_IV_15</w:t>
      </w:r>
    </w:p>
    <w:p>
      <w:r>
        <w:t>FR: ATF 80 IV 15</w:t>
      </w:r>
    </w:p>
    <w:p>
      <w:r>
        <w:t>IT: DTF 80 IV 15</w:t>
      </w:r>
    </w:p>
    <w:p>
      <w:pPr>
        <w:pStyle w:val="Heading2"/>
      </w:pPr>
      <w:r>
        <w:t>Regeste</w:t>
      </w:r>
    </w:p>
    <w:p>
      <w:r>
        <w:t>Regeste Art. 157, 18, 20 StGB. 1. Wucher, begangen durch Ausbeutung der Notlage einer juristischen Person (Erw. 1). Vorübergehende Notlage genügt 2. Wucher durch Diskontierung von Wechseln, die mit gefälschten Akzepten versehen sind; offenbares Missverhältnis zwischen Leistung und Gegenleistung (Erw. 2). 3. Vorsatz des Wuchers. Bewusstsein der Rechtswidrigkeit gehört nicht dazu. Zureichende Gründe für Rechtsirrtum verneint (Erw. 3).</w:t>
      </w:r>
    </w:p>
    <w:p>
      <w:r>
        <w:t>Regeste Art. 157, 18, 20 CP. 1. Usure commise par l'exploitation de l'état de gêne d'une personne morale (consid. 1). Un état de gêne passager suffit (consid. 3). 2. Usure commise en escomptant des lettres de change munies de fausses acceptations; disproportion évidente entre la prestation et la contre-prestation (consid. 2). 3. Intention de l'usurier. Il n'est pas nécessaire qu'il ait conscience de l'illicéité de son acte. Erreur de droit; pas de raisons suffisantes (consid. 3).</w:t>
      </w:r>
    </w:p>
    <w:p>
      <w:r>
        <w:t>Regesto Art. 157, 18, 20 CP. 1. Usura commessa mediante sfruttamento dello stato di bisogno d'una persona giuridica (consid. 1). Basta uno stato di bisogno passeggiero (consid. 3). 2. Usura commessa scontando delle cambiali munite di false accettazioni; sproporzione manifesta tra la prestazione e la controprestazione (consid. 2). 3. Intenzione dell'usuraio. Non occorre che abbia coscienza del carattere illecito del suo atto. Errore di diritto; mancanza di ragioni sufficienti (consid. 3).</w:t>
      </w:r>
    </w:p>
    <w:p>
      <w:pPr>
        <w:pStyle w:val="Heading2"/>
      </w:pPr>
      <w:r>
        <w:t>Erwägungen</w:t>
      </w:r>
    </w:p>
    <w:p>
      <w:r>
        <w:rPr>
          <w:b/>
        </w:rPr>
        <w:t>E. 1</w:t>
      </w:r>
    </w:p>
    <w:p>
      <w:r>
        <w:t>Nach Art. 157 Ziff. 1 Abs. 1 StGB macht sich strafbar, wer die Notlage, die Abhängigkeit, die Geistesschwäche, die Unerfahrenheit, die Charakterschwäche oder den Leichtsinn einer Person ausbeutet, um sich oder einem andern für eine Vermögensleistung Vermögensvorteile gewähren oder versprechen zu lassen, die mit der Leistung in einem offenbaren Missverhältnis stehen. Diese Bestimmung schützt das Vermögen (vgl. die Überschrift zum zweiten Titel und den Randtitel zu Art. 148 ff.) und kommt daher auch einer juristischen Person als Träger von Vermögensrechten zugute, gleichgültig ob sie selber oder ob vielmehr das für sie handelnde Organ sich in einer vom Täter ausgebeuteten Notlage, Abhängigkeit usw. befunden hat. Nach dem Wortlaut ist nicht nötig, dass die Person, deren Lage oder Eigenschaften der Täter ausbeutet, mit dem Geschädigten identisch sei; es genügt, dass die Ausbeutung überhaupt zum Mittel gemacht werde, um einen auf Austausch von Vermögensleistungen gerichteten Vertrag, in welchem Leistung und Gegenleistung in einem offenbaren Missverhältnis stehen, zustande zu bringen. Selbst der französische Text, der im Gegensatz zum deutschen und italienischen verlangt, dass der Täter sich (oder einem andern) den Vermögensvorteil BGE 80 IV 15 S. 19 durch die sich in Not usw. befindende Person ("par elle") habe gewähren oder versprechen lassen, ist nicht anders auszulegen; denn damit ist nicht gesagt, dass diese Person die Leistung oder das Versprechen im eigenen Namen erbracht bzw. abgegeben haben müsse, nicht auch als Organ einer juristischen Person habe handeln können. Wucher kann daher z.B. begangen werden, indem der Täter die Geistesschwäche des Verwaltungsrates oder Geschäftsführers einer Aktiengesellschaft ausbeutet, um sich zu Lasten der Gesellschaft Leistungen versprechen zu lassen, die zu den Gegenleistungen in einem offenbaren Missverhältnis stehen. So verhält es sich hier freilich nicht. Den Beschwerdeführern wird nicht vorgeworfen, sie hätten, um die Eos Film AG zu bewuchern, die Notlage der Geschäftsführerin Gertrud Bachthaler ausgebeutet, sondern die Gesellschaft selber soll sich in der ausgebeuteten Notlage befunden haben. Die Person, deren Lage ausgebeutet wurde, ist hier mit der Geschädigten identisch; nur ist sie nicht eine natürliche, sondern eine juristische Person. Aber auch dieser Tatbestand wird von Art. 157 Ziff. 1 Abs. 1 erfasst. Diese Bestimmung spricht von einer Person schlechthin, nicht von einer natürlichen Person. Wenn und soweit auch eine juristische Person sich in einer Lage befinden oder eine Eigenschaft aufweisen kann, wie sie in der erwähnten Norm umschrieben sind, zieht die wucherische Ausbeutung dieser Lage oder Eigenschaft Strafe nach sich. Im vorliegenden Falle geht es nur um die Frage der "Notlage". In einer solchen kann sich auch die juristische Person befinden. Daran ändert die Anzeigepflicht bei Kapitalverlust und bei Überschuldung ( Art. 725, 817, 903 OR ) nichts. Abgesehen davon, dass man sich fragen kann, ob nicht schon der die Anzeigepflicht auslösende Tatbestand die Voraussetzungen einer "Notlage" im Sinne des Art. 157 StGB erfüllt, kann in Fällen, in denen die Anzeigepflicht verletzt worden ist und die Lage sich dadurch verschlimmert hat, die Notlage nicht deshalb BGE 80 IV 15 S. 20 verneint werden, weil sie durch Erfüllung dieser Pflicht hätte gemildert oder vermieden werden können. Art. 157 StGB frägt nicht nach den Ursachen der Notlage; es genügt, dass sie bestand und der Täter sie ausbeutete.</w:t>
      </w:r>
    </w:p>
    <w:p>
      <w:r>
        <w:rPr>
          <w:b/>
        </w:rPr>
        <w:t>E. 2</w:t>
      </w:r>
    </w:p>
    <w:p>
      <w:r>
        <w:t>Die Mehrzahl der Wechsel enthielten ein gefälschtes Akzept. Das schliesst Wucher in diesen Fällen nicht aus. Die Fälschungen ändern nichts daran, dass die Beschwerdeführer sich von der Eos Film AG - übrigens auch wechselrechtlich durchaus gültig - im Sinne des Art. 157 StGB Vermögensvorteile "versprechen" und "gewähren" liessen. Auch kann nicht gesagt werden, diese hätten objektiv zu den Leistungen der Beschwerdeführer in keinem offenbaren Missverhältnis gestanden, weil die Fälschung der Akzepte die Gefahr, dass die Wechselnehmer zu Verlust kommen könnten, erhöht habe. Die Vergütungen, welche die Eos Film AG versprach, um von den Beschwerdeführern für kurze Zeit Geld zu erhalten, entsprachen einem Jahreszins von 60 und mehr Prozent. Selbst das hohe Verlustrisiko, das wegen der hoffnungslosen finanziellen Lage der Eos Film AG objektiv bestand, rechtfertigte so masslose Überforderung nicht. Art. 157 StGB wäre sonst gerade in den Fällen, in denen der Bewucherte wegen seiner verzweifelten Lage des Schutzes am meisten bedurfte, toter Buchstabe.</w:t>
      </w:r>
    </w:p>
    <w:p>
      <w:r>
        <w:rPr>
          <w:b/>
        </w:rPr>
        <w:t>E. 3</w:t>
      </w:r>
    </w:p>
    <w:p>
      <w:r>
        <w:t>Vorsatz setzt unter anderem voraus, dass den Beschwerdeführern die Notlage der Eos Film AG bekannt war. Dieses Wissen ist von der Vorinstanz verbindlich festgestellt worden (Art. 273 Abs. 1 lit. b, 277 bis Abs. 1 BStP). Dass die Beschwerdeführer meinten, der Eos Film AG fehlten nur vorübergehend die nötigen Mittel, ist unerheblich; eine Notlage kann auch in vorübergehenden finanziellen Schwierigkeiten bestehen, weshalb der Vorsatz, sich solche zunutze zu machen, genügt. Zum Vorsatz gehört ferner, dass die Beschwerdeführer wussten, in welchem Verhältnis Leistung und Gegenleistung zueinander standen. Auch dieses Wissen steht fest. Die irrige Vorstellung über die Gültigkeit der Akzepte BGE 80 IV 15 S. 21 schliesst es nicht aus; denn die Beschwerdeführer stellten sich nicht einen Sachverhalt vor, der für sie günstiger, sondern einen solchen, der für sie ungünstiger gewesen wäre, wenn er der Wirklichkeit entsprochen hätte. Nicht nötig ist, dass die Beschwerdeführer das bestehende Verhältnis zwischen Leistung und Gegenleistung als "offenbares Missverhältnis" würdigten, wie der Richter es tut; denn das Bewusstsein der Rechtswidrigkeit, ja Strafbarkeit einer Handlung gehört nicht zum Vorsatz; ein Irrtum in dieser Hinsicht wäre nach Art. 20 StGB zu berücksichtigen; doch entfällt die Anwendung dieser Bestimmung hier schon deshalb, weil die Beschwerdeführer sich auf keinen zureichenden Grund zu berufen vermöchten, der ihnen das Gefühl hätte nehmen können, so skrupellose Ausnützung der Notlage einer Aktiengesellschaft verstosse nicht zum mindesten irgendwie gegen das, was recht ist. Endlich war den Beschwerdeführern auch bekannt, dass die Eos Film AG die Wechselverpflichtungen nur wegen ihrer Notlage zu den vereinbarten Bedingungen einging. Sie waren sich also bewusst, dass sie durch den Abschluss der Geschäfte zu diesen Bedingungen die Notlage ausbeuteten. Indem sie trotz ihres Wissens die Geschäfte abschlossen, und zwar, wie nicht bestritten wird, aus freiem Willensentschlusse, hatten sie notwendigerweise auch den zum Vorsatz gehörenden Willen, die den Wuchertatbestand ausmachenden Merkmale zu verwirklichen. Die Vorinstanz hat den Vorsatz somit zu Recht bejaht.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