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w:t>
      </w:r>
    </w:p>
    <w:p>
      <w:r>
        <w:t>Bundesgericht (BGE), 1954-01-01, DE</w:t>
      </w:r>
    </w:p>
    <w:p>
      <w:r>
        <w:rPr>
          <w:b/>
        </w:rPr>
        <w:t xml:space="preserve">Quelle: </w:t>
      </w:r>
      <w:r>
        <w:t>https://mcp.opencaselaw.ch/entscheid/bge_BGE_80_IV_1</w:t>
      </w:r>
    </w:p>
    <w:p>
      <w:r>
        <w:t>FR: ATF 80 IV 1</w:t>
      </w:r>
    </w:p>
    <w:p>
      <w:r>
        <w:t>IT: DTF 80 IV 1</w:t>
      </w:r>
    </w:p>
    <w:p>
      <w:pPr>
        <w:pStyle w:val="Heading2"/>
      </w:pPr>
      <w:r>
        <w:t>Regeste</w:t>
      </w:r>
    </w:p>
    <w:p>
      <w:r>
        <w:t>Regeste Art. 29 StGB. Die Antragsfrist beginnt zu laufen, wann dem Antragsberechtigten die Tat und der Täter bekannt werden, nicht erst, wann er Beweismittel besitzt.</w:t>
      </w:r>
    </w:p>
    <w:p>
      <w:r>
        <w:t>Regeste Art. 29 CP. Le délai de plainte commence à courir dès l'instant que l'ayant-droit connaît l'acte et son auteur et non pas seulement lorsqu'il a réuni ses preuves.</w:t>
      </w:r>
    </w:p>
    <w:p>
      <w:r>
        <w:t>Regesto Art. 29 CP. Il termine per sporgere querela comincia a correre dal giorno in cui l'avente diritto ha conoscenza del reato e del suo autore e non soltanto dal giorno in cui possiede le prove.</w:t>
      </w:r>
    </w:p>
    <w:p>
      <w:pPr>
        <w:pStyle w:val="Heading2"/>
      </w:pPr>
      <w:r>
        <w:t>Erwägungen</w:t>
      </w:r>
    </w:p>
    <w:p>
      <w:r>
        <w:rPr>
          <w:b/>
        </w:rPr>
        <w:t>E. 1</w:t>
      </w:r>
    </w:p>
    <w:p>
      <w:r>
        <w:t>Unlauterer Wettbewerb wird auf Antrag verfolgt ( Art. 13 UWG ). Ein solcher kann gemäss Art. 29 StGB , der hier anwendbar ist ( Art. 333 Abs. 1 StGB ), nur binnen drei Monaten gestellt werden. Diese Frist beginnt mit dem Tage, an welchem dem Antragsberechtigten der Täter und - was Art. 29 nicht ausdrücklich sagt, sich aber von selbst versteht ( BGE 75 IV 20 ) - die Tat bekannt wird. Davon gibt es keine Ausnahme. Der Beschwerdeführer geht fehl, aus BGE 79 IV 58 abzuleiten, dass die Antragsfrist erst zu laufen beginne, wenn dem Berechtigten die Erhebung der Klage zugemutet werden könne, und dass das nur im Normalfall schon mit der Kenntnis des Täters und des objektiven Tatbestandes zutreffe. Im angerufenen Falle war zu entscheiden, ob der Verletzte nicht nur die objektiven Tatbestandsmerkmale und die Person des Täters, sondern auch schon den subjektiven Tatbestand kennen müsse, damit die Antragsfrist zu laufen beginne. BGE 80 IV 1 S. 4 Indem das Bundesgericht ausführte, es sei normal, dass der Verletzte Strafantrag stelle, sobald er den objektiven Tatbestand und den Täter kenne, sagte es nach dem ganzen Zusammenhange nur, vom Antragsberechtigten könne verlangt werden, dass er auch ohne Kenntnis des subjektiven Tatbestandes vorgehe. Keineswegs wurde damit entschieden, dass das nur in der Regel verlangt werde und dem Antragsberechtigten ausnahmsweise die Einrede offen bleibe, es habe ihm nicht zugemutet werden können, binnen drei Monaten seit Kenntnis des objektiven Tatbestandes und des Täters Antrag zu stellen. Es trifft auch nicht zu, dass das Bundesgericht entschieden hätte, die Antragsfrist laufe erst, wenn der Verletzte seine Anschuldigung beweisen könne. Auf die Kenntnis, nicht auf den Besitz von Beweismitteln kommt es nach dem klaren Wortlaut des Art. 29 StGB an. In BGE 76 IV 6 wurde lediglich entschieden, dass das Kennenmüssen oder ein blosser Verdacht die Frist nicht in Gang setze, sondern dass sichere, zuverlässige Kenntnis nötig sei, die ein Vorgehen gegen den Täter aussichtsreich erscheinen lasse und den Antragsberechtigten gleichzeitig davor schütze, wegen falscher Anschuldigung oder übler Nachrede belangt zu werden, d.h. eine Kenntnis, wie sie insbesondere der Besitz von Beweismitteln vermittle. Das hatte nur den Sinn, dass der Antragsberechtigte namentlich dann sichere Kenntnis habe, wenn er über Beweismittel verfüge, nicht auch, dass der Besitz solcher Mittel Voraussetzung sicherer Kenntnis und damit des Beginns der Antragsfrist sei. In gleichem Sinne lautet BGE 22 494 mit Bezug auf die analoge Frage des Beginns der Verjährung.</w:t>
      </w:r>
    </w:p>
    <w:p>
      <w:r>
        <w:rPr>
          <w:b/>
        </w:rPr>
        <w:t>E. 2</w:t>
      </w:r>
    </w:p>
    <w:p>
      <w:r>
        <w:t>Nach der verbindlichen Feststellung des Obergerichts gab Marty dem Beschwerdeführer den Brief des Beschwerdegegners anlässlich der gemeinsamen Geländebegehung zu lesen. In diesem Zeitpunkt erhielt somit der Beschwerdeführer von der Tat und dem Täter sichere Kenntnis und begann die Antragsfrist zu laufen, bestand BGE 80 IV 1 S. 5 doch die eingeklagte Handlung gerade im Schreiben des Briefes, der von seinem Verfasser unterschrieben war. Die Ausfälle im Briefe waren heftig und eindrücklich genug, dass der Beschwerdeführer als Fachmann und Ersteller der kritisierten Anlagen in der Lage war, sich das Wesentliche davon zu merken und sich schlüssig zu werden, ob er Strafantrag stellen wolle. Indem ihm der Brief bloss zu lesen gegeben, nicht auch schon damals im Original oder in Kopie überlassen wurde, war er nicht schlechter gestellt, als wenn der Beschwerdegegner seine Äusserungen bloss mündlich getan und der Beschwerdeführer zugehört hätte, womit die Frist zur Stellung des Strafantrages ebenfalls in Gang gesetzt worden wäre. Als wahrscheinlichen Zeitpunkt der Geländebegehung und damit des Lesens des Briefes durch den Beschwerdeführer bezeichnet das Obergericht auf Grund einer eingehenden Untersuchung den 2. Oktober 1949. Diese Beweiswürdigung bindet den Kassationshof und wird vom Beschwerdeführer auch nicht anzufechten versucht. Steht somit die gesetzliche Voraussetzung, dass der Beschwerdeführer vom Briefe erst innerhalb der drei Monate vor Einreichung des Strafantrages Kenntnis erhielt, nicht fest, ist gegenteils wahrscheinlich, dass dies schon vorher geschah, so hat das Obergericht dem Strafantrag mit Recht nicht Folge gegeben. Ob das Verfahren einzustellen oder der Angeklagte freizusprechen sei, war eine Frage des kantonalen Prozessrechtes, wie schon wiederholt für den analogen Fall der Verjährung entschieden worden ist ( BGE 72 IV 47 , BGE 78 IV 129 ).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