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362</w:t>
      </w:r>
    </w:p>
    <w:p>
      <w:r>
        <w:t>Bundesgericht (BGE), 1954-01-01, DE</w:t>
      </w:r>
    </w:p>
    <w:p>
      <w:r>
        <w:rPr>
          <w:b/>
        </w:rPr>
        <w:t xml:space="preserve">Quelle: </w:t>
      </w:r>
      <w:r>
        <w:t>https://mcp.opencaselaw.ch/entscheid/bge_BGE_80_II_362</w:t>
      </w:r>
    </w:p>
    <w:p>
      <w:r>
        <w:t>FR: ATF 80 II 362</w:t>
      </w:r>
    </w:p>
    <w:p>
      <w:r>
        <w:t>IT: DTF 80 II 362</w:t>
      </w:r>
    </w:p>
    <w:p>
      <w:pPr>
        <w:pStyle w:val="Heading2"/>
      </w:pPr>
      <w:r>
        <w:t>Regeste</w:t>
      </w:r>
    </w:p>
    <w:p>
      <w:r>
        <w:t>Regeste 1. Wann ist eine Prorogation auf das Bundesgericht im Sinne von Art. 41 lit. c Abs. 2 OG auch beim Fehlen eines Gerichtsstandes in der Schweiz wirksam? Art. 2 Abs. 2 BZP (Erw. 1). 2. Das Bundesgericht ist nur zur Beurteilung der Rechtsbegehren zuständig, auf die sich die Prorogation bezieht (Erw. 2). 3. Was kann Gegenstand einer Feststellungsklage sein? Art. 25 BZP (Erw. 3). 4. 'Rechtliches Interesse an sofortiger Feststellung' (Erw. 4).</w:t>
      </w:r>
    </w:p>
    <w:p>
      <w:r>
        <w:t>Regeste 1. Quand une prorogation de for en faveur du Tribunal fédéral, au sens de l'art. 41 litt. c al. 2 OJ, est-elle valable même s'il n'existe pas de for légal en Suisse? Art. 2 al. 2 LPC (consid. 1). 2. Le Tribunal fédéral ne peut statuer que sur les conclusions auxquelles se rapporte la prorogation de for (consid. 2). 3. Quel peut être l'objet d'une action en constatation de droit? Art. 25 LPC (consid. 3). 4. 'Intérêt juridique à une constatation immédiate' (consid. 4).</w:t>
      </w:r>
    </w:p>
    <w:p>
      <w:r>
        <w:t>Regesto 1. Quando una proroga di giurisdizione a favore del Tribunale federale, a'sensi dell'art. 41 lett. c cp. 2 OG, è valida anche in mancanza di un foro legale in Isvizzera? Art. 2 cp. 2 PCF (consid. 1). 2. Il Tribunale federale può statuire soltanto sulle conclusioni alle quali si riferisce la proroga di giurisdizione (consid. 2). 3. Quale può essere l'oggetto d'un'azione di accertamento? Art. 25 PCF (consid. 3). 4. 'Interesse giuridico all'accertamento immediato' (consid. 4).</w:t>
      </w:r>
    </w:p>
    <w:p>
      <w:pPr>
        <w:pStyle w:val="Heading2"/>
      </w:pPr>
      <w:r>
        <w:t>Erwägungen</w:t>
      </w:r>
    </w:p>
    <w:p>
      <w:r>
        <w:rPr>
          <w:b/>
        </w:rPr>
        <w:t>E. 1</w:t>
      </w:r>
    </w:p>
    <w:p>
      <w:r>
        <w:t>Nach Art. 41 lit. c Abs. 2 OG kann das Bundesgericht von beiden Parteien 'an Stelle der kantonalen Gerichte' als einzige Instanz angerufen werden, wenn der Streitwert wenigstens Fr. 10'000.-- beträgt. Die letztere Voraussetzung ist hier erfüllt. Da sodann das Bundesgericht nur 'an Stelle der kantonalen Gerichte' angerufen werden kann, muss nach eidgenössischem oder kantonalem Recht ein Gerichtsstand in der Schweiz begründet sein, was denn auch Art. 2 Abs. 1 des Bundeszivilprozessgesetzes vom 4. Dezember 1947 ausdrücklich bestimmt. An dieser Voraussetzung würde es vorerst fehlen, wenn der italienische Gerichtsstand, wie ihn Art. 17 Abs. 3 des Niederlassungs- und Konsularvertrages zwischen der Schweiz und Italien vom 22. Juli 1868 für Streitigkeiten zwischen den Erben eines in der Schweiz verstorbenen Italieners 'hinsichtlich seines Nachlasses' vorsieht, auf Ansprüche des überlebenden Ehegatten aus ehelichem Güterrecht auszudehnen sein sollte. Wie dem aber auch sei, ist Prorogation eines von dieser staatsvertraglichen Norm abweichenden Gerichtsstandes zulässig ( BGE 65 I 125 ). Und die vorliegende Prorogation ist vom Bundesgericht nach Art. 2 Abs. 2 BZP zu beachten, da die Klägerin ihren Wohnsitz in der Schweiz hat.</w:t>
      </w:r>
    </w:p>
    <w:p>
      <w:r>
        <w:rPr>
          <w:b/>
        </w:rPr>
        <w:t>E. 2</w:t>
      </w:r>
    </w:p>
    <w:p>
      <w:r>
        <w:t>Indessen fallen nur die Rechtsbegehren in Betracht, für welche die Prorogation erfolgt ist. Für andere Begehren ist die Zuständigkeit des Bundesgerichtes als einziger BGE 80 II 362 S. 365 Instanz nicht begründet. Der in der Vereinbarung vom 21. Juni 1954 formulierten Streitfrage nach dem anzuwenden den Rechte entspricht das erste, nicht aber das zweite Klagebegehren (aufLeistung von Fr. 87'110.85). Die Beklagten widersetzen sich denn auch dessen Beurteilung durch das Bundesgericht. Freilich bringen sie selber den materiellen Inhalt des italienischen Gesetzes zur Geltung, indem sie mit ihrem Gegenbegehren feststellen lassen wollen, 'dass der Klägerin demnach kein Vorschlagsanteil zusteht'. Das wäre aber nach Ansicht beider Parteien die unabweisliche Folge der Anwendung des italienischen Gesetzes und hat somit nicht die Bedeutung eines besondern Begehrens. Die Beklagten haben im übrigen keinen Zweifel darüber bestehen lassen, dass sie sich an den Wortlaut der Prorogationsvereinbarung halten und eine Befugnis des Bundesgerichts zu materieller Entscheidung nicht anerkennen wollen.</w:t>
      </w:r>
    </w:p>
    <w:p>
      <w:r>
        <w:rPr>
          <w:b/>
        </w:rPr>
        <w:t>E. 3</w:t>
      </w:r>
    </w:p>
    <w:p>
      <w:r>
        <w:t>Bei dieser Sachlage erhebt sich die Frage, ob überhaupt Rechtsbegehren im wahren Sinne des Wortes vorliegen. Eine gerichtliche Entscheidung muss (abgesehen von der sog. freiwilligen oder nichtstreitigen Gerichtsbarkeit) im Ausspruch der Rechtsfolge bestehen, die sich nach dem Gesetze als Rechtswirkung eines Tatbestandes ergibt (vgl. STEIN, Grundriss des Zivilprozessrechts und des Konkursrechts, § 63 II). Insbesondere kann eine gerichtliche Feststellung nach Art. 25 BZP (entsprechend dem Inhalt anderer Gesetze sowie gemäss der herrschenden Lehre) nur das Bestehen oder Nichtbestehen eines Rechtsverhältnisses betreffen (ähnlich § 92 der zürcherischen und Art. 174 der bernischen ZPO; vgl. auch § 256 der deutschen ZPO). Der Begriff des Rechtsverhältnisses wird etwa umschrieben als 'ein durch die Herrschaft der Rechtsnormen über einen konkreten Tatbestand als Rechtsfolge dieses Tatbestandes entstandenes rechtliches Verhältnis einer Person zu einer andern Person oder zu einem Sachgut' (so STEIN/JONAS, Die ZPO für das Deutsche Reich, 14. Auflage I S. 699) oder 'die aus einem konkreten Tatbestand entstandene BGE 80 II 362 S. 366 Rechtsbeziehung einer Person zu einer andern Person oder zu einer Sache' (SCHöNKE, Zivilprozessrecht, 5. Aufl. S. 145) oder 'jede aus den Rechtsnormen sich ergebende Beziehung einer Person zu einer andern Person oder zu einer Sache, sowie die einzelnen daraus fliessenden rechtlichen Folgen, Ansprüche und Verpflichtungen' (LEUCH, N. 2 zu Art. 174 der bernischen ZPO). Es muss sich danach um den Bestand oder Inhalt und Umfang von Rechten oder Pflichten handeln, die durch das Urteil festgelegt oder abgegrenzt werden sollen. Dagegen kann nicht eine blosse Rechtsfrage ohne die an sie zu knüpfende Rechtsfolge zum Gegenstand einer gerichtlichen Entscheidung gemacht werden. Denn damit wäre eben noch nicht über Rechte und Pflichten entschieden, also kein materiellrechtliches Urteil gefällt, wie es auch das Feststellungsurteil sein muss. Im vorliegenden Falle, wo eine Prorogation auf das Bundesgericht nur für eine Rechtsanwendungsfrage vereinbart worden ist und die Beklagten die italienischen Gerichte für eine materielle Entscheidung als allein zuständig halten, bestünde nicht einmal Gewähr für Beachtung der nachgesuchten Entscheidung durch das allenfalls hernach um materielle Entscheidung angegangene Gericht.</w:t>
      </w:r>
    </w:p>
    <w:p>
      <w:r>
        <w:rPr>
          <w:b/>
        </w:rPr>
        <w:t>E. 4</w:t>
      </w:r>
    </w:p>
    <w:p>
      <w:r>
        <w:t>Die (von Anwälten verfasste) Prorogationsvereinbarung kann, zumal angesichts der Stellungnahme der Beklagten, nicht wohl ausdehnend dahin ausgelegt werden, es werde ein eigentliches, d.h. materiellrechtliches Feststellungsurteil darüber verlangt, ob der Witwe aus Güterrecht ein Vorschlagsanteil zustehe. Liesse sich indessen die Prorogation auch so auslegen, so würde es an den besondern Voraussetzungen einer Feststellungsklage mangeln, die Art. 25 BZP dahin formuliert, dass der Kläger ein rechtliches Interesse an sofortiger Feststellung haben müsse. Es besteht kein schutzwürdiges Interesse, die Frage nach einer Vorschlagsbeteiligung, zudem nur grundsätzlich, ohne ziffermässige Bestimmung, vorweg entscheiden zu lassen. Nichts würde die Parteien hindern, sogleich die ganze güterrechtliche Auseinandersetzung zu gerichtlichem BGE 80 II 362 S. 367 Austrag zu bringen, also die Frage des Vorschlagsanteils nach Grundsatz und Betrag, aber auch die Ersatzansprüche für Eingebrachtes und die zur Zeit noch streitigen Sondergutsansprüche. Auf diesem Wege liesse sich ein vollstreckbares Urteil erzielen. Dass der Vorschlagsanteil der Witwe besonders gefährdet sei und deshalb möglichst rasch vorweg durch Urteil festgestellt werden sollte, ist nicht dargetan. übrigens ist nicht einzusehen, was in dieser Hinsicht mit einer bloss grundsätzlichen Feststellung gewonnen wäre. Endlich lässt sich für die Zulässigkeit einer solchen Feststellung nichts daraus herleiten, dass einem Feststellungsurteil mitunter gestützt auf zuverlässige Parteierklärungen, namentlich seitens behördlicher Organe, die praktische Wirkung eines Leistungsurteils beigemessen werden darf (vgl. BGE 50 II 51 ff.; LEUCH, N. 3 zu Art. 174 der bernischen ZPO, S. 175 unter Mitte der 2. Auflage). Denn abgesehen davon, dass die Beklagten ein Urteil mit materiellrechtlicher Wirkung gar nicht wollen, wäre eine bloss grundsätzliche Feststellung keineswegs geeignet, die güterrechtliche Auseinandersetzung zum Abschluss zu bringen oder auch nur den der Witwe allenfalls zukommenden Anteil am ehelichen Vorschlage festzusetzen.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