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288</w:t>
      </w:r>
    </w:p>
    <w:p>
      <w:r>
        <w:t>Bundesgericht (BGE), 1954-01-01, FR</w:t>
      </w:r>
    </w:p>
    <w:p>
      <w:r>
        <w:rPr>
          <w:b/>
        </w:rPr>
        <w:t xml:space="preserve">Quelle: </w:t>
      </w:r>
      <w:r>
        <w:t>https://mcp.opencaselaw.ch/entscheid/bge_BGE_80_II_288</w:t>
      </w:r>
    </w:p>
    <w:p>
      <w:r>
        <w:t>FR: ATF 80 II 288</w:t>
      </w:r>
    </w:p>
    <w:p>
      <w:r>
        <w:t>IT: DTF 80 II 288</w:t>
      </w:r>
    </w:p>
    <w:p>
      <w:pPr>
        <w:pStyle w:val="Heading2"/>
      </w:pPr>
      <w:r>
        <w:t>Regeste</w:t>
      </w:r>
    </w:p>
    <w:p>
      <w:r>
        <w:t>Regeste Vaterschaftsklage. Verwirkung. Ist Art. 139 OR auf eine Vaterschaftsklage anwendbar, die in gültiger Form angehoben, aber wegen eines einen spätern Verfahrensakt betreffenden prozessualen Fehlers einer Partei abgewiesen wurde?</w:t>
      </w:r>
    </w:p>
    <w:p>
      <w:r>
        <w:t>Regeste Action en recherche de paternité. Péremption. L'art. 139 CO est-il applicable au cas d'une action en recherche de paternité régulièrement introduite mais rejetée en raison d'une faute de procédure commise par l'une des parties et affectant un acte ultérieur du procès?</w:t>
      </w:r>
    </w:p>
    <w:p>
      <w:r>
        <w:t>Regesto Azione di paternità. Perenzione. È applicabile l'art. 139 CO all'azione di paternità regolarmente promossa, ma respinta a causa d'un vizio di procedura commesso da una delle parti e concernente un atto ulteriore del processo?</w:t>
      </w:r>
    </w:p>
    <w:p>
      <w:pPr>
        <w:pStyle w:val="Heading2"/>
      </w:pPr>
      <w:r>
        <w:t>Erwägungen</w:t>
      </w:r>
    </w:p>
    <w:p>
      <w:r>
        <w:rPr>
          <w:b/>
        </w:rPr>
        <w:t>E. 1</w:t>
      </w:r>
    </w:p>
    <w:p>
      <w:r>
        <w:t>Selon la jurisprudence du Tribunal fédéral, l'art. 139 CO est applicable non seulement aux délais de prescription proprement dits, mais aussi au délai de péremption institué par l'art. 308 CC. Par conséquent, lorsque l'action en recherche de paternité "a été rejetée par suite de l'incompétence du juge saisi, ou en raison d'un vice de forme réparable, ou parce qu'elle était prématurée", la partie demanderesse jouit, si le délai d'un an est expiré dans l'intervalle, d'un délai supplémentaire de soixante jours pour faire valoir ses droits (RO 61 II 149 ss; 72 II 328 ).</w:t>
      </w:r>
    </w:p>
    <w:p>
      <w:r>
        <w:rPr>
          <w:b/>
        </w:rPr>
        <w:t>E. 2</w:t>
      </w:r>
    </w:p>
    <w:p>
      <w:r>
        <w:t>L'art. 139 CO est applicable à condition qu'une action ait été intentée dans le délai ordinaire, qu'elle ait été atteinte d'un vice de forme réparable (il ne s'agit ici que de cette éventualité), qu'elle ait été rejetée pour ce motif et que la décision sur ce point soit intervenue après l'expiration du délai de prescription ou de péremption. La première de ces conditions est incontestablement réalisée puisque l'enfant est né le 10 août 1949 et qu'une première action a été introduite le 10 août 1950. En revanche, il est plus délicat de déterminer si la seconde condition, relative à l'existence d'un vice de forme réparable, est remplie. Les recourants l'affirment en se fondant essentiellement sur l'arrêt rendu par le Tribunal fédéral le 7 novembre 1946 dans la cause P. contre M. (RO 72 II 326 ss). Cet arrêt, qui confirme une décision rendue par le Tribunal cantonal vaudois le 3 mai 1946, considère comme un vice de forme réparable le dépôt d'une demande après le délai de trente jours pendant lequel l'acte de non-conciliation est valable (art. 57 et 254 al. 2 CPC). Les recourants soutiennent qu'il n'y a pas de différence entre cette irrégularité et le défaut de comparution à l'audience de conciliation, qui doit donc aussi être considéré comme un vice de forme réparable. BGE 80 II 288 S. 292 Toutefois, il convient de relever tout d'abord que la jurisprudence de l'arrêt P. contre M. ne laisse pas d'être fort discutable. Elle fait dépendre en effet l'application de l'art. 139 CO des règles particulières de la procédure cantonale. De plus, elle ne paraît guère conforme à la ratio legis de cette disposition. Celle-ci tend à atténuer la rigueur de la prescription (ou de la péremption) en faveur du plaideur qui, agissant dans la hâte des derniers jours du délai, commet une erreur de procédure affectant l'acte introductif d'instance. Si ce but ne découle pas à l'évidence du texte même de l'art. 139 CO, il résulte en revanche clairement de la note marginale: "Délai supplémentaire, lorsque l'action a été mal introduite". La partie qui commet une erreur de procédure dans l'une des phases subséquentes du procès n'est plus pressée par l'expiration du délai de prescription ou de péremption. Elle ne saurait donc invoquer l'excuse qui profite au plaideur au moment d'intenter action. D'ailleurs, le demandeur, qui intente régulièrement son action, interrompt la prescription, un nouveau délai commençant à courir à compter de chaque acte du procès (art. 138 al. 1 CO). Il n'a donc pas besoin d'un "délai supplémentaire" lorsqu'il commet plus tard une informalité. On ne voit pas pourquoi il devrait en aller autrement en matière de péremption. De plus, la jurisprudence de l'arrêt P. contre M. aboutit à cette conséquence surprenante qu'une citation en conciliation régulière mais demeurant sans suite est impuissante à interrompre la prescription, tandis qu'un simple commandement de payer pourrait avoir cet effet même si le créancier renonçait à continuer la poursuite. Quoi qu'il en soit cependant, il n'est pas nécessaire de trancher la question du bien-fondé de l'arrêt P. contre M., car la situation de fait se présente ici de manière quelque peu différente. Dans la cause P. contre M., le Tribunal cantonal a interprété le droit cantonal en ce sens que l'inobservation du délai de trente jours affecte simplement l'acte de BGE 80 II 288 S. 293 non-conciliation, qui perd alors sa validité, tandis que l'action comme telle subsiste. En revanche, dans la présente espèce, il constate, de manière à lier le Tribunal fédéral, que le défaut de comparution des deux parties à l'audience de conciliation entraîne la caducité de la citation elle-même. Aux termes de l'art. 62 CPC, "la citation tombe" et, comme le dit la juridiction cantonale, elle ne peut plus sortir aucun effet. Du moment qu'en matière d'action en recherche de paternité la citation en conciliation constitue l'acte introductif d'instance, les demandeurs, en ne comparaissant pas, se sont mis dans la même situation que s'ils n'avaient intenté aucune action ou l'avaient retirée. Il s'ensuit que le délai de l'art. 308 CC est expiré sans qu'une action ait été introduite. Lorsque, le 21 décembre 1950, les demandeurs ont fait à nouveau citer le défendeur en conciliation, leur action était déjà périmée. Le Tribunal cantonal aurait pu le constater dès ce moment. A plus forte raison était-il fondé à le faire dans l'arrêt attaqué, relatif à l'action introduite le 22 août 1952. D'ailleurs, même en appliquant l'arrêt P. contre M. et en considérant le défaut des deux parties à l'audience de conciliation comme un vice de forme réparable, il n'en faudrait pas moins rejeter le recours. En effet, du moment que la conciliation est obligatoire en matière d'action en recherche de paternité (art. 52 ch. 3 CPC) et que la première citation était tombée en vertu de l'art. 62 CPC, les demandeurs devaient en déposer une nouvelle. Se fondant sur l'arrêt P. contre M., ils pouvaient invoquer l'art. 139 CO et bénéficier d'un délai de soixante jours dès l'audience de conciliation, date à laquelle la citation était tombée. Mais pour que ce délai supplémentaire fût sauvegardé, il aurait fallu qu'ils agissent régulièrement. Or tel n'a pas été le cas puisque la citation qu'ils ont fait notifier le 21 décembre 1950 ne contenait pas de conclusions et ne satisfaisait donc pas aux exigences formelles du CPC. Comme la nature du délai de grâce accordé par l'art. 139 CO interdit qu'il soit octroyé plus BGE 80 II 288 S. 294 d'une fois en raison des risques d'abus qui pourraient en résulter, il est hors de doute que l'action introduite le 22 août 1952 est périmée. Cela étant, il est inutile d'examiner si les autres conditions de l'art. 139 CO sont réunies.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