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267</w:t>
      </w:r>
    </w:p>
    <w:p>
      <w:r>
        <w:t>Bundesgericht (BGE), 1954-01-01, DE</w:t>
      </w:r>
    </w:p>
    <w:p>
      <w:r>
        <w:rPr>
          <w:b/>
        </w:rPr>
        <w:t xml:space="preserve">Quelle: </w:t>
      </w:r>
      <w:r>
        <w:t>https://mcp.opencaselaw.ch/entscheid/bge_BGE_80_II_267</w:t>
      </w:r>
    </w:p>
    <w:p>
      <w:r>
        <w:t>FR: ATF 80 II 267</w:t>
      </w:r>
    </w:p>
    <w:p>
      <w:r>
        <w:t>IT: DTF 80 II 267</w:t>
      </w:r>
    </w:p>
    <w:p>
      <w:pPr>
        <w:pStyle w:val="Heading2"/>
      </w:pPr>
      <w:r>
        <w:t>Regeste</w:t>
      </w:r>
    </w:p>
    <w:p>
      <w:r>
        <w:t>Regeste Aktienrecht. Keine gesetzliche Pflicht der Aktiengesellschaft, durch sofortige Kontrolle eingelöster Dividendencoupons nach den Inhabern von zur Kraftloserklärung angemeldeten Aktien zu forschen. Grundsätzliches zum Verhältnis zwischen Aktionär und Gesellschaft.</w:t>
      </w:r>
    </w:p>
    <w:p>
      <w:r>
        <w:t>Regeste Société anonyme. La société anonyme n'a pas l'obligation légale de contröler immédiatement les coupons de dividendes encaissés pour rechercher les détenteurs d'actions dont l'annulation est demandée. Considérations de principe sur les rapports existant entre l'actionnaire et la société.</w:t>
      </w:r>
    </w:p>
    <w:p>
      <w:r>
        <w:t>Regesto Società anonima. La società anonima non ha un obbligo legale di controllare immediatamente le cedole di dividendi incassati per scoprire i possessori di azioni di cui sia chiesto l'ammortamento. Considerazioni generali sui rapporti esistenti tra l'azionista e la società.</w:t>
      </w:r>
    </w:p>
    <w:p>
      <w:pPr>
        <w:pStyle w:val="Heading2"/>
      </w:pPr>
      <w:r>
        <w:t>Erwägungen</w:t>
      </w:r>
    </w:p>
    <w:p>
      <w:r>
        <w:rPr>
          <w:b/>
        </w:rPr>
        <w:t>E. 1</w:t>
      </w:r>
    </w:p>
    <w:p>
      <w:r>
        <w:t>Im kantonalen Urteil wird u.a. ausgeführt, die Beklagte habe von der im August 1951 erfolgten Einlösung der Coupons durch die Kreditanstalt erst ungefähr ein Jahr später Kenntnis erhalten. Nach Meinung der Klägerin BGE 80 II 267 S. 269 widerspricht diese Angabe dem Akteninhalt. Aber das geltende OG kennt keine Aktenwidrigkeitsrüge. Beachtlich ist einzig ein offensichtliches Versehen. Ob ein solches gegeben sei, kann offen bleiben. Selbst wenn die Lonza A.-G. um die Dividendenauszahlung früher gewusst haben sollte, muss die Klage abgewiesen werden, wie nachstehend darzutun sein wird. Desgleichen ist unerheblich und darum nicht zu erörtern, ob der Klägerin ein Schaden erspart geblieben wäre, wenn sie die Beklagte vor der Kraftloserklärung der Titel von der Einleitung des darauf zielenden Verfahrens unterrichtet hätte.</w:t>
      </w:r>
    </w:p>
    <w:p>
      <w:r>
        <w:rPr>
          <w:b/>
        </w:rPr>
        <w:t>E. 2</w:t>
      </w:r>
    </w:p>
    <w:p>
      <w:r>
        <w:t>Entscheidend ist nämlich, dass auf Seite der Beklagten ein Haftungsgrund, der sie zur Zahlung einer Entschädigung an die Klägerin verpflichten könnte, angesichts des ermittelten Tatbestandes im vorneherein ausscheidet. Die Berufung hebt hervor, es seien die von der Bank eingelösten Coupons der Beklagten schon im Herbst 1951 zugekommen. Und sie erblickt ein Verschulden darin, dass die Beklagte es unterliess, die Inhaber der zur Kraftloserklärung angemeldeten Titel auf das hängige Verfahren aufmerksam zu machen, um sie vor Schaden zu bewahren. Eine dahingehende Pflicht habe schon vertraglich bestanden. Denn die Klägerin sei Aktionärin der Beklagten gewesen, und die Beziehungen des Aktionärs mit der Gesellschaft seien nach unserem Rechtssystem vertraglicher Natur. In so allgemeiner Form ist die Behauptung unrichtig. Sie verträgt sich nicht mit der körperschaftlichen Gestaltung der Aktiengesellschaft als juristischer Person. Der Aktionär, der durch seine Kapitalbeteiligung die Gesellschaft bilden hilft, steht ihr in dieser Eigenschaft nicht als Vertragsschliessender gegenüber, sondern die beidseitigen Pflichten und Rechte sind jedenfalls dem Grundsatze nach wesentlich körperschaftliche. Das hindert freilich nicht, dass ein Aktionär daneben auch vertragliche Bindungen mit der Gesellschaft hat, wie beispielsweise dann, wenn bei einem Fabrikationsbetrieb von den Aktionären BGE 80 II 267 S. 270 gewisse Rohmaterialien zu liefern oder Fertigwaren abzunehmen sind. Darüber hinaus liesse sich höchstens noch annehmen, es bestehe analog dem Verhältnis unter den Aktionären (vgl. SIEGWART, Kommentar zum Aktienrecht, Einleitung N. 94 ff, und GOLDSCHMIDT, Grundfragen des neuen schweizerischen Aktienrechts, S. 40) auch zwischen Aktiengesellschaft und Aktionären eine gegenseitige Treuepflicht vertraglicher oder vertragsähnlicher Art. Ob das zutrifft, muss indessen nicht geprüft werden. Sogar wenn es zu bejahen wäre, hätte die Beklagte nicht gegen solche Pflichten verstossen. Die Kraftloserklärung von Inhaberpapieren ist in den Art. 981 ff. OR abschliessend geordnet. Eine Aktiengesellschaft, von deren ausgegebenen Inhaberaktien einzelne Stücke gemäss jenen Vorschriften der Entkräftung unterworfen werden und die nicht durch statutarische oder andere interne Bestimmungen zu weiteren Vorkehren gehalten ist, braucht nicht eine Nachkontrolle eingelöster Coupons nur zu dem Zwecke vorzunehmen, einen so ermittelten Aktienbesitzer auf das laufende Amortisationsverfahren zu verweisen. Abweichend könnte es sich vielleicht verhalten, wenn nachgewiesen wäre, dass die Gesellschaft um die Einlösung gerade der Coupons zu einer der Kraftloserklärung unterliegenden Aktie wusste und trotzdem den Inhaber nicht verständigte. Aber das ist nicht der zu beurteilende Sachverhalt. Im übrigen wäre es für die Klägerin leicht gewesen, mit einer Bank zu vereinbaren, dass ihr Kraftloserklärungen von Aktien angezeigt werden. Solche Vorsorge läge bedeutend näher als eine Verpflichtung der Aktiengesellschaft, über das ihr gesetzlich Zugemutete hinaus durch sofortige Couponskontrolle nach den Inhabern von zu amortisierenden Aktien zu fahnden. Die vorstehenden Ueberlegungen gebieten erst recht die Verneinung einer der Beklagten zur Last fallenden unerlaubten Handlung.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