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239</w:t>
      </w:r>
    </w:p>
    <w:p>
      <w:r>
        <w:t>Bundesgericht (BGE), 1954-01-01, FR</w:t>
      </w:r>
    </w:p>
    <w:p>
      <w:r>
        <w:rPr>
          <w:b/>
        </w:rPr>
        <w:t xml:space="preserve">Quelle: </w:t>
      </w:r>
      <w:r>
        <w:t>https://mcp.opencaselaw.ch/entscheid/bge_BGE_80_II_239</w:t>
      </w:r>
    </w:p>
    <w:p>
      <w:r>
        <w:t>FR: ATF 80 II 239</w:t>
      </w:r>
    </w:p>
    <w:p>
      <w:r>
        <w:t>IT: DTF 80 II 239</w:t>
      </w:r>
    </w:p>
    <w:p>
      <w:pPr>
        <w:pStyle w:val="Heading2"/>
      </w:pPr>
      <w:r>
        <w:t>Regeste</w:t>
      </w:r>
    </w:p>
    <w:p>
      <w:r>
        <w:t>Regeste Klage auf Herausgabe gestohlener und verlorener Sachen. Art. 934 ZGB. Sind jemandem Aktien wider seinen Willen abhanden gekommen, die inzwischen durch neue, die nämlichen Rechte verleihendeTitel ersetztwurden, so kann er die neuen Titel gleichermassen zurückfordern. Fall eines bösgläubigen Erwerbes.</w:t>
      </w:r>
    </w:p>
    <w:p>
      <w:r>
        <w:t>Regeste Action en revendication de choses perdues ou volées. Art. 934 CC. Celui qui s'est vu déposséder contre sa volonté d'actions d'une société qui ont été remplacées depuis lors par de nouveaux titres conférant les mëmes droits est recevable à revendiquer les nouveaux titres à l'égal des anciens. Cas d'une acquisition faite de mauvaise foi.</w:t>
      </w:r>
    </w:p>
    <w:p>
      <w:r>
        <w:t>Regesto Azione di rivendicazione di cose smarrite o sottratte. Art. 934 CC. Colui che è stato privato contro la sua volontà di azioni d'una società, che successivamente sono state sostituite con nuovi titoli conferenti i medesimi diritti, ha veste per rivendicare i nuovi titoli come se si trattasse dei vecchi. Caso di malafede nell'acquisto.</w:t>
      </w:r>
    </w:p>
    <w:p>
      <w:pPr>
        <w:pStyle w:val="Heading2"/>
      </w:pPr>
      <w:r>
        <w:t>Erwägungen</w:t>
      </w:r>
    </w:p>
    <w:p>
      <w:r>
        <w:rPr>
          <w:b/>
        </w:rPr>
        <w:t>E. 3</w:t>
      </w:r>
    </w:p>
    <w:p>
      <w:r>
        <w:t>Le moyen tiré du fait que le recourant a été condamné à restituer à l'intimé d'autres titres que ceux dont ce dernier avait été dépossédé n'est pas fondé. En matière de revendication de papiers-valeurs, l'action tend bien en principe à la restitution des documents mêmes dont le BGE 80 II 239 S. 242 demandeur s'est trouvé dépossédé. Mais encore faut-il que la restitution de ces documents-là le replace dans la situation dans laquelle il se serait trouvé s'il n'en avait pas été dépossédé par suite de perte ou de vol. Or, lorsque les droits qu'incorporaient les documents perdus ou volés ont été, depuis la perte ou le vol, rattachés à de nouveaux documents, tout comme ils l'étaient aux documents primitifs, il est clair que l'action en revendication ne change pas d'objet pour s'exercer contre la personne qui s'est fait remettre de nouveaux titres en échange des titres volés ou perdus et les détient encore au moment de la réclamation.</w:t>
      </w:r>
    </w:p>
    <w:p>
      <w:r>
        <w:rPr>
          <w:b/>
        </w:rPr>
        <w:t>E. 5</w:t>
      </w:r>
    </w:p>
    <w:p>
      <w:r>
        <w:t>Le recourant reproche également à la Cour de justice de n'avoir pas tranché nettement la question de savoir s'il y a eu vente des titres entre le Français inconnu et Sieur S., ou si celui-ci a été le mandataire du recourant, ou si, au contraire, ce dernier n'a pas été le mandataire de Sieur S. La Cour de justice aurait en outre négligé le fait que ce n'est pas de Sieur S. que le recourant a reçu les actions Nestlé-Alimentana. Ce dernier argument a déjà été réfuté ci-dessus. Pour ce qui est des rapports entre le recourant et Sieur S., il est exact que la Cour de justice ne les a pas exactement définis. Mais cela est sans importance. En effet, d'une part, le recourant soutient, actuellement encore, qu'il a acheté les actions pour son compte, d'autre part, il est sans intérêt de savoir s'il les a achetées à Sieur S. ou au Français inconnu par l'entremise de Sieur S. Ce qui est décisif, c'est que, selon les contestations de l'arrêt attaqué, il n'était en tout cas pas de bonne foi lors de cet achat. Il conteste, il est vrai, la justesse de cette affirmation et prétend avoir traité des milliers d'affaires avec Sieur S. et n'avoir jamais eu l'occasion de se méfier de lui. Cela est possible, mais est indifférent en l'espèce. Ce qu'il suffit de relever, c'est que, d'après les constatations de l'arrêt attaqué, le recourant savait, lorsqu'il a acquis les titres, à la suite de quelles circonstances ils avaient passé en la possession du Sieur S., autrement dit que ce dernier les avait achetés à un inconnu, et comme il s'agissait de titres BGE 80 II 239 S. 243 cotés à la Bourse, le fait que le vendeur s'était adressé à un courtier sans faire connaître son identité suffisait à rendre l'opération suspecte. Sieur S. et lui-même s'étaient du reste si bien rendu compte que les titres pouvaient avoir été volés qu'ils ont pris soin de consulter la liste des titres frappés d'opposition pour s'assurer qu'ils n'y figuraient pas. Or, en leur qualité d'hommes d'affaires expérimentés, ils devaient évidemment savoir qu'il se passe en général un certain temps entre le vol d'un titre et sa découverte et, à plus forte raison, entre le vol et l'ouverture de la procédure d'annulation, de sorte que si les titres litigieux ne figuraient pas sur la liste en question, ce n'était pas une raison suffisante pour dissiper leurs soupçons. Il est exact que l'acheteur d'un titre au porteur n'a pas en général à se demander si l'aliénateur a qualité pour en disposer, mais cela n'est vrai cependant que s'il n'a pas de raisons particulières de suspecter la bonne foi de son cocontractant, et il est clair que les circonstances dans lesquelles l'affaire se présentait en l'espèce exigeait de la part du recourant la plus extrême prudence. La décision rendue par la Cour de justice ne peut donc qu'être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