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193</w:t>
      </w:r>
    </w:p>
    <w:p>
      <w:r>
        <w:t>Bundesgericht (BGE), 1954-01-01, DE</w:t>
      </w:r>
    </w:p>
    <w:p>
      <w:r>
        <w:rPr>
          <w:b/>
        </w:rPr>
        <w:t xml:space="preserve">Quelle: </w:t>
      </w:r>
      <w:r>
        <w:t>https://mcp.opencaselaw.ch/entscheid/bge_BGE_80_II_193</w:t>
      </w:r>
    </w:p>
    <w:p>
      <w:r>
        <w:t>FR: ATF 80 II 193</w:t>
      </w:r>
    </w:p>
    <w:p>
      <w:r>
        <w:t>IT: DTF 80 II 193</w:t>
      </w:r>
    </w:p>
    <w:p>
      <w:pPr>
        <w:pStyle w:val="Heading2"/>
      </w:pPr>
      <w:r>
        <w:t>Regeste</w:t>
      </w:r>
    </w:p>
    <w:p>
      <w:r>
        <w:t>Regeste Art. 151 Abs. 2 ZGB. Wegen schwerer Verletzung der persönlichen Verhältnisse kann der Richter dem schuldlosen Ehegatten nur eine Geldsumme, nicht auch eine andere Art der Genugtuung zusprechen, wie z.B. einen Franken.</w:t>
      </w:r>
    </w:p>
    <w:p>
      <w:r>
        <w:t>Regeste Art. 151 al. 2 CC. Le juge ne peut accorder qu'une somme d'argent à l'époux innocent qui a subi une grave atteinte dans ses intérêts personnels; un autre mode de réparation morale, comme l'allocation d'un franc symbolique, est exclu.</w:t>
      </w:r>
    </w:p>
    <w:p>
      <w:r>
        <w:t>Regesto Art. 151 cp. 2 CC. Il giudice può accordare al coniuge innocente che abbia subìto un grave pregiudizio nelle sue relazioni personali solamente una somma di denaro; è escluso un altro modo di riparazione morale, ad esempio l'attribuzione di un franco simbolico.</w:t>
      </w:r>
    </w:p>
    <w:p>
      <w:pPr>
        <w:pStyle w:val="Heading2"/>
      </w:pPr>
      <w:r>
        <w:t>Volltext</w:t>
      </w:r>
    </w:p>
    <w:p>
      <w:r>
        <w:t>Bundesgericht (BGE) Band II 1954 BGE 80 II 193 Tribunal fédéral (ATF) Volume II 1954 BGE 80 II 193 Tribunale federale (DTF) Volume II 1954 BGE 80 II 193</w:t>
      </w:r>
    </w:p>
    <w:p>
      <w:r>
        <w:t>Regeste Art. 151 Abs. 2 ZGB. Wegen schwerer Verletzung der persönlichen Verhältnisse kann der Richter dem schuldlosen Ehegatten nur eine Geldsumme, nicht auch eine andere Art der Genugtuung zusprechen, wie z.B. einen Franken. Regeste Art. 151 al. 2 CC. Le juge ne peut accorder qu'une somme d'argent à l'époux innocent qui a subi une grave atteinte dans ses intérêts personnels; un autre mode de réparation morale, comme l'allocation d'un franc symbolique, est exclu. Regesto Art. 151 cp. 2 CC. Il giudice può accordare al coniuge innocente che abbia subìto un grave pregiudizio nelle sue relazioni personali solamente una somma di denaro; è escluso un altro modo di riparazione morale, ad esempio l'attribuzione di un franco simbolico.</w:t>
      </w:r>
    </w:p>
    <w:p>
      <w:r>
        <w:t>Urteilskopf 80 II 193 31. Auszug aus dem Urteil der II. Zivilabteilung vom 3. Dezember 1954 i.S. Bürchler gegen Bürchler. Regeste Art. 151 Abs. 2 ZGB . Wegen schwerer Verletzung der persönlichen Verhältnisse kann der Richter dem schuldlosen Ehegatten nur eine Geldsumme, nicht auch eine andere Art der Genugtuung zusprechen, wie z.B. einen Franken. Erwägungen ab Seite 193 BGE 80 II 193 S. 193 Die Vorinstanz hat angenommen, dass in den Umständen, die zur Scheidung geführt haben, eine schwere Verletzung der persönlichen Verhältnisse der Klägerin im Sinne des Art. 151 Abs. 2 ZGB liege. Sie hat aber gefunden, dass die von der Klägerin zum Zwecke der Genugtuung geforderte Zahlung von einem Franken nur symbolische Bedeutung habe und eine solche Genugtuung dem Art. 151 Abs. 2 ZGB fremd sei. Dem ist beizustimmen. Die Klägerin gibt zu, dass es ihr nur um die grundsätzliche Anerkennung des Genugtuungsanspruches durch den Richter zu tun ist; sie sucht ihre Genugtuung darin, BGE 80 II 193 S. 194 dass der Richter - durch Zusprechung eines Frankens - das Verhalten des Beklagten ihr gegenüber missbilligt. Was sie anstrebt, ist somit genau besehen eine "andere Art der Genugtuung" im Sinne des Art. 49 Abs. 2 OR (vgl. BGE 63 II 187 , 189 f.). Das gibt es aber im Scheidungsrecht nicht. Art. 151 ZGB sieht für den Fall einer schweren Verletzung der persönlichen Verhältnisse des schuldlosen Ehegatten als Genugtuung nur die Übergabe einer Geldsumme vor. Diese Regel geht der allgemeinen des Art. 49 OR vor. Im Scheidungsrecht besteht kein Bedürfnis nach entsprechender Anwendung des Art. 49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