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165</w:t>
      </w:r>
    </w:p>
    <w:p>
      <w:r>
        <w:t>Bundesgericht (BGE), 1954-01-01, FR</w:t>
      </w:r>
    </w:p>
    <w:p>
      <w:r>
        <w:rPr>
          <w:b/>
        </w:rPr>
        <w:t xml:space="preserve">Quelle: </w:t>
      </w:r>
      <w:r>
        <w:t>https://mcp.opencaselaw.ch/entscheid/bge_BGE_80_II_165</w:t>
      </w:r>
    </w:p>
    <w:p>
      <w:r>
        <w:t>FR: ATF 80 II 165</w:t>
      </w:r>
    </w:p>
    <w:p>
      <w:r>
        <w:t>IT: DTF 80 II 165</w:t>
      </w:r>
    </w:p>
    <w:p>
      <w:pPr>
        <w:pStyle w:val="Heading2"/>
      </w:pPr>
      <w:r>
        <w:t>Regeste</w:t>
      </w:r>
    </w:p>
    <w:p>
      <w:r>
        <w:t>Regeste Unlauterer Wettbewerb. Tätigkeit zu Erwerbszwecken. 1. Die Vorschriften des UWG gelten für den gesamten Bereich der wirtschaftlichen Tätigkeit, insbesondere auch für die zu Erwerbszwecken ausgeübte Tätigkeit im Gebiete des Unterrichtswesens (Erw. 1). 2. Die blosse Ausübung einer wirtschaftlichen Tätigkeit bewirkt die Anwendbarkeit des UWG; unerheblich ist, ob sie vorab auf die Erzielung eines Gewinnes oder auf die Erreichung eines idealen Zweckes gerichtet sei (Erw. 3).</w:t>
      </w:r>
    </w:p>
    <w:p>
      <w:r>
        <w:t>Regeste Concurrence déloyale. Activité à but lucratif. 1. Les règles de la LCD régissent l'ensemble de l'activité économique; elles régissent notamment les activités à but lucratif dans le domaine de l'enseignement (consid. 1). 2. Le simple fait d'exercer une activité économique suffit pour entraîner l'application de la LCD; il importe peu que cette activité tende essentiellement à réaliser un bénéfice ou qu'elle constitue avant tout le moyen d'atteindre un but idéal (consid. 3).</w:t>
      </w:r>
    </w:p>
    <w:p>
      <w:r>
        <w:t>Regesto Concorrenza sleale. Attività lucrativa. 1. Le norme della LCS disciplinano il complesso dell'attività economica, segnatamente le attività lucrative esercitate nel campo dell'insegnamento (consid. 1). 2. Il mero esercizio di un'attività economica basta perchè la LCS sia applicabile; poco importa se quest'attività tenda essenzialmente a realizzare un utile oppure costituisca anzitutto un mezzo per conseguire uno scopo ideale (consid. 3).</w:t>
      </w:r>
    </w:p>
    <w:p>
      <w:pPr>
        <w:pStyle w:val="Heading2"/>
      </w:pPr>
      <w:r>
        <w:t>Erwägungen</w:t>
      </w:r>
    </w:p>
    <w:p>
      <w:r>
        <w:rPr>
          <w:b/>
        </w:rPr>
        <w:t>E. 1</w:t>
      </w:r>
    </w:p>
    <w:p>
      <w:r>
        <w:t>Aux termes de l'art. 1er LCD "est réputé concurrence déloyale au sens de la loi tout abus de la concurrence économique résultant d'une tromperie ou d'un autre procédé contraire aux règles de la bonne foi". En d'autres termes, il ne peut y avoir acte de concurrence déloyale, BGE 80 II 165 S. 168 au sens de la LCD, que sur le terrain de la concurrence économique. L'art. 2 précise que "celui qui est menacé dans sa clientèle son crédit ou sa réputation professionnelle" peut invoquer le bénéfice de la loi. Parmi les actes de concurrence déloyale énumérés à titre exemplaire à l'art. 1er figure le dénigrement d'autrui, de ses oeuvres, de son activité ou de ses affaires. Il en résulte que la LCD protège toute activité économique dans quelque domaine que ce soit. Elle s'applique donc aussi bien à celui qui exerce une profession libérale qu'à l'industriel et au commerçant. La LCD institue des règles générales valables pour toutes les activités économiques et non pas des dispositions spéciales, restreintes au commerce, à l'industrie et aux arts et métiers (v. Message du Conseil Fédéral, FF 1942 p. 676-677). C'est dire que la LCD protège aussi les activités à but lucratif qui s'exercent dans le domaine de l'enseignement. Le Tribunal fédéral a d'ailleurs déjà prononcé que ce domaine est soumis aux mêmes règles que les autres activités économiques et notamment aux dispositions relatives à la concurrence déloyale (RO 50 I 165). Or il est constant que le recourant exerce une activité à but lucratif. Il en résulte qu'il a le droit d'invoquer les dispositions de la LCD.</w:t>
      </w:r>
    </w:p>
    <w:p>
      <w:r>
        <w:rPr>
          <w:b/>
        </w:rPr>
        <w:t>E. 2</w:t>
      </w:r>
    </w:p>
    <w:p>
      <w:r>
        <w:t>La Société suisse des commerçants, Section de Genève est une association régie par les art. 60 et suiv. CC. Aux termes de l'art. 3 de ses statuts, elle a pour but d'améliorer la situation économique, sociale et juridique des employés et apprentis de commerce, de bureau et d'administration des entreprises publiques et privées; elle organise notamment l'enseignement commercial. La qualité de membre actif de la SSC, Section de Genève, entraîne d'office celle de membre de la Société suisse des commerçants, dite Société centrale. La Société centrale a des buts identiques à ceux de la Section de Genève, en tout cas sur les points qui touchent au présent litige. En fait, la SSC, BGE 80 II 165 S. 169 Section de Genève, organise des cours commerciaux du soir, sous le nom de cours réunis, en collaboration avec l'Union des Employés de banque. Les deux associations ont constitué une commission des cours réunis composée de délégués des deux parties. L'organisation et le travail de cette commission sont précisés dans un document intitulé "Statuts de la Commission des cours réunis". L'intimée prétend que les cours ne seraient pas organisés par elle, mais par la Commission des cours réunis, qui constituerait une association distincte. Cependant cette Commission n'exprime nulle part dans des statuts la volonté d'être organisée corporativement, qui est une des conditions essentielles posées par la loi pour qu'une association acquière la personnalité juridique (art. 60 al. 1 CC). Au contraire, l'art. 1er de ces pseudo-statuts dispose simplement que "la Commission des Cours réunis est préposée à l'organisation, la direction, l'administration et à la surveillance des cours d'orientation professionnelle et d'instruction générale organisés en commun par l'UEB et par la SSC à Genève". Il en résulte que cette commission n'est pas une personne morale et que la responsabilité des cours incombe à la SSC et à l'UEB personnellement. Il s'agit là d'une simple convention entre ces deux associations. Les cours réunis ont pour objet l'étude des langues, la correspondance, la comptabilité et, de façon générale, les branches commerciales. Le programme des cours pour l'année 1952-1953 remplit une brochure de 48 pages. Les cours ne sont pas réservés aux membres des deux associations; ils sont ouverts à tous. Les inscriptions sont recueillies par le secrétariat des cours réunis et par la SSC. Il est notoire qu'ils sont annoncés par de la publicité dans les journaux. Pour l'exercice 1951-1952, il a été dépensé 3305 fr. 75 à titre de frais de propagande. Pendant la même période, les élèves ont versé au total 65 208 fr. 70 à titre d'écolages. Le compte de pertes et profits de cet exercice mentionne 82 491 fr. 45 aux recettes et 83 331 fr. 50 aux dépenses, laissant ainsi une perte de 830 fr. 05. Cette perte BGE 80 II 165 S. 170 est supportée par un fonds commun, alimenté par parts égales entre la SSC et l'UEB. Il est dès lors évident qu'il existe une concurrence entre les cours réunis et l'école exploitée par le recourant. La SSC et le recourant exercent en effet leur activité dans le même domaine et ils s'adressent au même public.</w:t>
      </w:r>
    </w:p>
    <w:p>
      <w:r>
        <w:rPr>
          <w:b/>
        </w:rPr>
        <w:t>E. 3</w:t>
      </w:r>
    </w:p>
    <w:p>
      <w:r>
        <w:t>Mais la Cour cantonale conteste que la SSC soit soumise à la LCD, parce qu'elle n'exerce pas une activité à but lucratif. L'intimée souligne à ce propos qu'elle organise l'enseignement professionnel imposé aux apprentis par l'art. 28 de la loi fédérale du 26 juin 1930 sur la formation professionnelle (RS t. 4 p. 37 et suiv.). Il s'agit de cours d'associations professionnelles, au sens de l'art. 30 al. 2 de la même loi. Ils préparent aux examens de fin d'apprentissage prévus à l'art. 40 de cette loi. Ces faits ne sont pas contestés. Mais ils ne sont pas déterminants. Le fait d'avoir un but idéal n'interdit pas à une association d'exercer une industrie en la forme commerciale. La loi prévoit expressément cette possibilité à l'art. 61 al. 2 CC. Dans ce cas, l'exercice d'une industrie reste pour l'association un moyen d'atteindre son but; il ne tend pas à réaliser un bénéfice, mais il ne l'exclut pas. Il n'en constitue pas moins, en lui-même, une activité à but lucratif, c'est-à-dire une activité économique. Or la LCD régit l'ensemble de la vie économique. Elle vise à assurer le respect des règles de la bonne foi dans la vie des affaires. Il n'y a pas de raison de soustraire à son empire des activités purement économiques par leur nature, sous le prétexte que ceux qui les exercent ne cherchent pas à réaliser un bénéfice mais se proposent un autre but. Le Tribunal fédéral a déjà prononcé que les associations à but idéal qui exercent une activité à but lucratif peuvent invoquer les dispositions de la LCD (RO 75 IV 23). Pour les mêmes motifs, ces associations doivent respecter la bonne foi dans les affaires. Elles sont donc soumises à la LCD, dans la mesure où elles entrent en concurrence économique avec BGE 80 II 165 S. 171 des tiers. En d'autres termes, le simple fait d'exercer une activité économique suffit pour entraîner l'application de la LCD; il importe peu en revanche que cette activité tende essentiellement à réaliser un bénéfice ou qu'elle constitue avant tout le moyen d'atteindre un but idéal. C'est donc à tort que la Cour cantonale a écarté les conclusions du demandeur et recourant pour le motif qu'il ne saurait invoquer les dispositions de la LCD à l'égard des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