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152</w:t>
      </w:r>
    </w:p>
    <w:p>
      <w:r>
        <w:t>Bundesgericht (BGE), 1954-01-01, DE</w:t>
      </w:r>
    </w:p>
    <w:p>
      <w:r>
        <w:rPr>
          <w:b/>
        </w:rPr>
        <w:t xml:space="preserve">Quelle: </w:t>
      </w:r>
      <w:r>
        <w:t>https://mcp.opencaselaw.ch/entscheid/bge_BGE_80_II_152</w:t>
      </w:r>
    </w:p>
    <w:p>
      <w:r>
        <w:t>FR: ATF 80 II 152</w:t>
      </w:r>
    </w:p>
    <w:p>
      <w:r>
        <w:t>IT: DTF 80 II 152</w:t>
      </w:r>
    </w:p>
    <w:p>
      <w:pPr>
        <w:pStyle w:val="Heading2"/>
      </w:pPr>
      <w:r>
        <w:t>Regeste</w:t>
      </w:r>
    </w:p>
    <w:p>
      <w:r>
        <w:t>Regeste Landwirtschaftliches Bodenrecht. Irrtum. Rechtsirrtum als Grundlagenirrtum (Art. 24 Ziff. 4 OR). Ein Vertrag, der wegen zu hohen Kaufpreises nicht der Genehmigung fähig gewesen wäre, ist auch nach Wegfall der Genehmigungspfiicht infolge Aufhebung des BMB nichtig (Art. 6 BMB). Schadenersatzpflicht des Irrenden? (Art. 26 OR).</w:t>
      </w:r>
    </w:p>
    <w:p>
      <w:r>
        <w:t>Regeste Propriété foncière rurale. Erreur. Erreur de droit considérée comme erreur portant sur les éléments essentiels du contrat (art. 24 ch. 4 CO). Un contrat de vente qui n'aurait pu être ratifié parce que le prix était excessif est nul même après que les parties n'étaient plus tenues de le faire ratifier par suite de l'abrogation de l'ACF du 19 janvier 1940 /7 novembre 1941 (art. 6). La partie victime de l'erreur est-elle tenue de réparer le dommage? (art. 26 CO).</w:t>
      </w:r>
    </w:p>
    <w:p>
      <w:r>
        <w:t>Regesto Proprietà fondiaria rurale. Errore. Errore di diritto considerato come errore sugli elementi essenziali del contratto (art. 24 cifra 4 CO). Un contratto di compravendita che non avrebbe potuto essere approvato perchè il prezzo era eccessivo è nullo anche dopoche le parti non erano più tenute a farlo approvare in seguito all'abrogazione del DCF 19 gennaio 1940 /7 novembre 1941 (art. 6). La parte vittima dell'errore è tenuta al risarcimento dei danni? (art. 26 CO).</w:t>
      </w:r>
    </w:p>
    <w:p>
      <w:pPr>
        <w:pStyle w:val="Heading2"/>
      </w:pPr>
      <w:r>
        <w:t>Erwägungen</w:t>
      </w:r>
    </w:p>
    <w:p>
      <w:r>
        <w:rPr>
          <w:b/>
        </w:rPr>
        <w:t>E. 1</w:t>
      </w:r>
    </w:p>
    <w:p>
      <w:r>
        <w:t>Beim Abschluss der Vereinbarung vom 12. März 1953 gingen beide Parteien von der Auffassung aus, dass der Kaufvertrag vom 29. Dezember 1952 noch in Kraft sei. Das war Grundlage der Vereinbarung, ohne die es dem Kläger so wenig hätte in den Sinn kommen können, eine Entschädigung für die Aufhebung des Vertrages zu leisten als dem Beklagten, eine solche zu fordern. War der Vertrag nicht mehr in Kraft, sei es mangels Genehmigungsfähigkeit gemäss BMB, sei es infolge Ausübung eines Vorkaufsrechtes gemäss EGG, so verpflichtete sich der Kläger unter dem Einfluss eines Irrtums im Sinne von Art. 24 Ziff. 4 OR . Wohl handelte es sich dabei um einen Rechtsirrtum, aber auch ein solcher ist im Sinne dieser Gesetzesbestimmung wesentlich, wenn er einen Sachverhalt betrifft, der nach Treu und Glauben Grundlage der Verpflichtung bildet, was bei gemeinsam vorausgesetzter notwendiger Grundlage unbestreitbar ist.</w:t>
      </w:r>
    </w:p>
    <w:p>
      <w:r>
        <w:rPr>
          <w:b/>
        </w:rPr>
        <w:t>E. 2</w:t>
      </w:r>
    </w:p>
    <w:p>
      <w:r>
        <w:t>Für die Entscheidung über die Rechtsbeständigkeit des Kaufvertrages im Zeitpunkt der Vereinbarung vom 12. März 1953 fällt die Ausübung des Vorkaufsrechtes durch die Tochter des Verkäufers gemäss den Bestimmungen BGE 80 II 152 S. 157 des EGG ausser Betracht, da nach der Rechtsprechung ( BGE 79 I 270 Erw. 4) ein vor dem 1. Januar 1953 abgeschlossener Kaufvertrag dem EGG nicht unterliegt. Es ist daher lediglich zu prüfen, ob der Kaufvertrag in Ansehung des BMB gültig war oder nicht. Die Vorinstanz hat die Gültigkeit bejaht, weil gemäss BGE 73 II 165 Erw. 4 lit. a die Genehmigung durch die Behörde nach BMB eine Bedingung sei, bis zu deren Nichteintritt, d.h. bis zur Verweigerung der Genehmigung, die Vertragsparteien gegenseitig gebunden bleiben. Infolge Wegfalls des Erfordernisses der Genehmigung durch die Aufhebung des BMB sei der Vertrag daher ohne diese verbindlich geblieben. In BGE 79 I 272 wurde die Frage vorbehalten, ob das Erfordernis der Genehmigung für Verträge, über deren Genehmigung oder Nichtgenehmigung am 1. Januar 1953 noch nicht entschieden war, mit dem Ausserkrafttreten des BMB an diesem Datum dahingefallen sei, oder ob für sie die Genehmigung noch erforderlich sei, weil der Abschluss unter der Herrschaft des BMB massgebend bleiben müsse. Diese Frage ist unzweifelhaft im letzteren Sinne zu entscheiden. Der BMB ist zwar auf den 1. Januar 1953 dahingefallen kraft der Übergangsbestimmung von Art. 48 EGG , wonach alle diesem Gesetz widersprechenden Bestimmungen aufgehoben sind. Nachdem nun aber gemäss der Rechtsprechung das EGG auf Kaufverträge, die vor seinem Inkrafttreten abgeschlossen wurden, keine Anwendung findet, kann sich die Aufhebung des BMB auf diese nicht beziehen. Es gilt vielmehr der in Art. 1 SchlT ZGB niedergelegte allgemeine Rechtsgrundsatz, dass die vor dem Inkrafttreten des neuen Gesetzes eingetretenen Tatbestände nach dem Recht zu beurteilen sind, das zur Zeit ihres Eintritts gegolten hat. Der von den Parteien unter der Herrschaft des BMB abgeschlossene Vertrag unterliegt somit weiterhin dem Genehmigungserfordernis. Das eidgen. Justiz- und Polizeidepartement spricht allerdings in einem Kreisschreiben vom 12. Januar 1953 (Zeitschrift für Beurkundungs- und Grundbuchrecht 34 BGE 80 II 152 S. 158 S. 114) die gegenteilige Auffassung aus. Dabei ging es aber wohl von der nunmehr durch die Rechtsprechung abgelehnten Voraussetzung aus, dass auf diese Tatbestände das EGG nach seinem Inkrafttreten rückwirkend anwendbar sei. Andernfalls hätte es sich doch wohl mit der Frage auseinandergesetzt, ob die bei Wegfall des Genehmigungserfordernisses nach BMB ohne Rückwirkung des EGG entstehende Lücke in der Wahrung des sowohl dem alten wie dem neuen Bodenrecht zu Grunde liegenden Schutzzweckes dem Willen des Gesetzgebers entspreche, und es hätte dies unmöglich bejahen können. Denn wie die 1. Instanz zutreffend bemerkt hat, widerspräche es jedem vernünftigen Sinn des Bodenrechts, wenn für intertemporale Fälle der vorliegenden Art weder die Schutzbestimmungen des alten noch jene des neuen Rechts anwendbar wären. Diese Auffassung wird übrigens bestärkt durch die folgende Überlegung: Die grundlegende Bestimmung des BMB lag nicht in der Genehmigungsvorschrift, sondern in der Preisschranke, deren Beachtung die Behörde lediglich zu sichern hatte. Wenn Art. 42 BMB sich ausdrückt, dass Rechtsgeschäfte, die der Genehmigung bedürfen, ohne diese nichtig sind, so sind damit dieser Genehmigung nicht fähige Rechtsgeschäfte als nichtig bezeichnet. Darum könnte der genehmigungsunfähige Kaufvertrag - vorbehältlich der Rückwirkung des EGG - nicht Gültigkeit erlangen durch den Wegfall des Genehmigungsverfahrens. So betrachtet hätte die Genehmigung lediglich Verfahrenscharakter im Gegensatz zur materiellrechtlichen Preisschranke. Das steht nicht unbedingt in Widerspruch mit den Ausführungen in BGE 73 II 165 , wonach die Vertragsparteien gegenseitig an den Vertrag gebunden sind bis zur Verweigerung der Genehmigung, die alsdann auf den Vertragsschluss zurückwirkt. Denn solange die Genehmigung offen stand, war es eine durch Treu und Glauben gebotene gegenseitige Pflicht der Parteien, sie nachzusuchen, so dass die Nichtigkeit sich insoweit als eine bedingte darstellte. Von einer solchen Treuepflicht kann BGE 80 II 152 S. 159 jedoch nicht die Rede sein, wo den Vertragsparteien zum vorneherein klar war, dass die Genehmigung ausgeschlossen sei. So verhielt es sich aber gerade hier. Die Parteien waren einig, dass eine Genehmigung des Vertrages zu dem vereinbarten Kaufpreis nicht erhältlich wäre. Ein Gesuch um Genehmigung wäre somit sinnlos gewesen. Die Vereinbarung vom 12. März 1953 hob daher einen Vertrag auf, der von Anfang an zur Unwirksamkeit verurteilt war.</w:t>
      </w:r>
    </w:p>
    <w:p>
      <w:r>
        <w:rPr>
          <w:b/>
        </w:rPr>
        <w:t>E. 3</w:t>
      </w:r>
    </w:p>
    <w:p>
      <w:r>
        <w:t>Die Unverbindlichkeit der Vereinbarung vom 12. März 1953 infolge wesentlichen Irrtums ist daher zu bejahen. Das hat zur Folge, dass dem Kläger für die geleistete Zahlung von Fr. 15'000.-- ein Rückerstattungsanspruch aus ungerechtfertigter Bereicherung zusteht. Dass dieser Anspruch durch eine Schadenersatzpflicht des Klägers aus dem Gesichtspunkte von Art. 26 OR gemindert werde, behauptet der Beklagte in der Berufung mit Recht nicht. Denn entgegen der Ansicht der 1. Instanz kann nicht die Rede davon sein, dass der Kläger seinen Irrtum über die Rechtsbeständigkeit des Kaufvertrages deswegen seiner eigenen Fahrlässigkeit zuzuschreiben habe, weil er sich auf die vom Anwalt des Beklagten und vom Grundbuchamt vertretene Rechtsauffassung verliess, ohne selber einen Anwalt zu Rate zu ziehen. Die Berufung des Beklagten erweist sich somit als unbegründet, während die Anschlussberufung auf Schutz der Klage im vollen Betrag von Fr. 15'000.-- gutzuheissen ist. Die Anschlussberufung fordert Zins zu 5% seit dem 29. Dezember 1952. Wie um das Kapital, so ist der Beklagte auch um allfällige Anlagezinsen aus diesem ungerechtfertigt bereichert. Diese betragen aber nicht schlechthin 5% wie der gesetzliche Verzugszins. Da die Anschlussberufung bezüglich der Anlage wie der Zinsfrage überhaupt jeglicher Begründung ermangelt, kann ein Zins unter dem Gesichtspunkt der Bereicherung nicht zugesprochen werden. Hingegen ist ein Verzugszins zu 5% vom Datum der Weisung an ohne weiteres begründet. BGE 80 II 152 S. 160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