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118</w:t>
      </w:r>
    </w:p>
    <w:p>
      <w:r>
        <w:t>Bundesgericht (BGE), 1954-01-01, IT</w:t>
      </w:r>
    </w:p>
    <w:p>
      <w:r>
        <w:rPr>
          <w:b/>
        </w:rPr>
        <w:t xml:space="preserve">Quelle: </w:t>
      </w:r>
      <w:r>
        <w:t>https://mcp.opencaselaw.ch/entscheid/bge_BGE_80_II_118</w:t>
      </w:r>
    </w:p>
    <w:p>
      <w:r>
        <w:t>FR: ATF 80 II 118</w:t>
      </w:r>
    </w:p>
    <w:p>
      <w:r>
        <w:t>IT: DTF 80 II 118</w:t>
      </w:r>
    </w:p>
    <w:p>
      <w:pPr>
        <w:pStyle w:val="Heading2"/>
      </w:pPr>
      <w:r>
        <w:t>Regeste</w:t>
      </w:r>
    </w:p>
    <w:p>
      <w:r>
        <w:t>Regeste Art. 705 OR. Der Verwaltungsrat einer A.-G. kann durch die Generalversammlung jederzeit und aus irgendwelchem Grunde abberufen werden. Zur Wahrung seiner Interessen steht dem Verwaltungsrat in der Regel nur die Schadenersatzklage (Art. 705 Abs. 2 OR) zu Gebote. Frage der Zulässigkeit auch der blossen Feststellungsklage in Gestalt der Genugtuungsklage, falls die Abberufung eine unerlaubte Verletzung des Verwaltungsrats in seinen persönlichen Verhältnissen bedeutet.</w:t>
      </w:r>
    </w:p>
    <w:p>
      <w:r>
        <w:t>Regeste Art. 705 CO. L'administrateur d'une société anonyme peut être révoqué par l'assemblée générale en tout temps et pour n'importe quel motif. Pour sauvegarder ses intérêts, l'administrateur ne dispose en règle générale que de l'action en dommages-intérêts (art. 705 al. 2 CO). Lorsque la révocation l'atteint illicitement dans ses intérêts personnels, peut-il intenter une action en constatation de droit à titre d'action en réparation morale?</w:t>
      </w:r>
    </w:p>
    <w:p>
      <w:r>
        <w:t>Regesto Art. 705 CO. L'amministratore d'una società anonima può essere rimosso dalla sua carica dall'assemblea generale in ogni tempo e per qualsiasi motivo. A tutela dei suoi interessi l'amministratore dispone di regola soltanto dell'azione di risarcimento (art. 705 cp. 2 CO). Ammissibilità, nel caso in cui la revoca pregiudichi illecitamente l'amministratore nelle sue relazioni personali, anche di un'azione di mero accertamento nella forma dell'azione di riparazione morale?</w:t>
      </w:r>
    </w:p>
    <w:p>
      <w:pPr>
        <w:pStyle w:val="Heading2"/>
      </w:pPr>
      <w:r>
        <w:t>Erwägungen</w:t>
      </w:r>
    </w:p>
    <w:p>
      <w:r>
        <w:rPr>
          <w:b/>
        </w:rPr>
        <w:t>E. 1</w:t>
      </w:r>
    </w:p>
    <w:p>
      <w:r>
        <w:t>L'art. 705 cp. 1 CO conferisce all'assemblea generale della società anonima la facoltà di revocare gli amministratori da essa nominati. L'amministratore può essere rimosso dalla sua carica in ogni tempo e per qualunque motivo (RU 25 II 346). Questa libertà di revoca si comprende per il rapporto di fiducia che si stabilisce fra gli azionisti e l'amministratore, fiducia che può cessare per qualsiasi causa, sia pure imponderabile. All'amministratore revocato rimane però riservata l'azione di risarcimento (art. 705 cp. 2 CO). La revoca dell'amministratore è pertanto valida, anche se l'assemblea generale non sia in grado di provare un motivo grave a sostegno della revoca stessa. Ai fini dell'applicazione dell'art. 705 cp. 1 CO basta dunque costatare la regolarità con la quale l'assemblea generale si è riunita e ha deliberato sulla trattanda della revoca. Questa regolarità, accertata dal primo giudice, non è più stata contestata dall'attore che, con ragione, ha altresì rinunciato a riproporre in sede federale l'azione fondata sull'art. 706 CO.</w:t>
      </w:r>
    </w:p>
    <w:p>
      <w:r>
        <w:rPr>
          <w:b/>
        </w:rPr>
        <w:t>E. 2</w:t>
      </w:r>
    </w:p>
    <w:p>
      <w:r>
        <w:t>Il primo giudice, con un mutamento dell'azione la cui ammissibilità procedurale sfugge al sindacato di questa Corte, ha tuttavia "dichiarata ingiustificata e arbitraria nei confronti di Graziano Mancini" la deliberazione assembleare che lo revocava dalla carica di amministratore. La questione se quest'azione di mero accertamento sia ammissibile in virtù del diritto federale, e in caso affermativo se si avverino gli estremi dell'azione di accertamento accolta dalla sentenza querelata, solleva invece un problema di diritto federale la cui cognizione spetta al Tribunale federale adito col ricorso per riforma ( art. 43 OG ). Come è già stato giudicato, il diritto cantonale può BGE 80 II 118 S. 122 concedere l'azione di mero accertamento anche quando non sia prevista dal diritto federale, semprechè questo non la escluda (RU 49 II 430). Orbene, ammettendo la liceità della revoca senza giustificazione alcuna, il legislatore federale ha manifestamente inteso negare, di regola, all'amministratore il diritto di far dichiarare ingiustificata o arbitraria la deliberazione di revoca. L'amministratore non avrebbe del resto normalmente un interesse giuridico all'immediato accertamento giudiziale della lesione dei suoi diritti. Difatto, è conforme all'essenza dell'azione di accertamento che manca l'interesse a proporla quando l'attore può già esperire l'azione condannatoria (RU 77 II 351; 79 II 259 ). Ora, quest'ultima, nella forma dell'azione di risarcimento, è proponibile dal momento stesso in cui la revoca è validamente deliberata. Nessun motivo di economia processuale può giustificare una diversa soluzione: ammettendo l'azione di mero accertamento lungi dal favorire l'economia dei processi, si favorisce l'esperimento di due azioni in luogo di quella sola di condanna prevista dal legislatore federale. Accade tuttavia che l'amministratore sia revocato in un modo che pregiudichi illecitamente le sue relazioni personali. Un tale pregiudizio può risultargli segnatamente dal fatto che la revoca è resa pubblica con l'indicazione di motivi che non corrispondono al vero. In un caso siffatto non può essergli negato l'interesse all'immediato accertamente giudiziale, nella forma dell'azione di riparazione morale; questa presuppone però sempre una speciale gravità dell'offesa e della colpa. È vero che, a norma della vigente giurisprudenza del Tribunale federale, l'azione di accertamento non è più proponibile contro un atto di molestia cessato (RU 67 II 44). Ci si potrebbe però chiedere se l'azione non dovrebbe essere concessa anche quando l'atto di molestia appartiene al passato, purchè ne persistano gli effetti pregiudizievoli. Ma la questione può rimanere insoluta, atteso che in concreto la revoca non è avvenuta in modo da pregiudicare illecitamente BGE 80 II 118 S. 123 l'attore nelle sue relazioni personali. A tutela dei suoi interessi, questi non disponeva pertanto che dell'azione di condanna, espressamente riservata dall'art. 705 cp. 2 CO.</w:t>
      </w:r>
    </w:p>
    <w:p>
      <w:r>
        <w:rPr>
          <w:b/>
        </w:rPr>
        <w:t>E. 3</w:t>
      </w:r>
    </w:p>
    <w:p>
      <w:r>
        <w:t>Il ricorso adesivo è irricevibile in virtù dell'art. 55 cp. 1 lett. b, ultima frase OG. Infatti, in sede cantonale l'attore non aveva chiesto di pubblicare la pronuncia dichiarativa del Pretore, bensì di pubblicare l'annulla mento della deliberazione di revoca. Del resto, anche se fosse stata proponibile, la domanda adesiva dell'attore sarebbe venuta necessariamente a cadere con l'accoglimento del ricorso principale. Dispositiv Il Tribunale federale pronuncia: 1.- Il ricorso principale è accolto. Di conseguenza è annullata la sentenza 23 novembre 1953 della Camera civile del Tribunale d'appello del Cantone Ticino e la petizione di causa è respinta. 2.- Il ricorso adesivo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