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99</w:t>
      </w:r>
    </w:p>
    <w:p>
      <w:r>
        <w:t>Bundesgericht (BGE), 1954-09-23, DE</w:t>
      </w:r>
    </w:p>
    <w:p>
      <w:r>
        <w:rPr>
          <w:b/>
        </w:rPr>
        <w:t xml:space="preserve">Quelle: </w:t>
      </w:r>
      <w:r>
        <w:t>https://mcp.opencaselaw.ch/entscheid/bge_BGE_80_III_99</w:t>
      </w:r>
    </w:p>
    <w:p>
      <w:r>
        <w:t>FR: ATF 80 III 99</w:t>
      </w:r>
    </w:p>
    <w:p>
      <w:r>
        <w:t>IT: DTF 80 III 99</w:t>
      </w:r>
    </w:p>
    <w:p>
      <w:pPr>
        <w:pStyle w:val="Heading2"/>
      </w:pPr>
      <w:r>
        <w:t>Regeste</w:t>
      </w:r>
    </w:p>
    <w:p>
      <w:r>
        <w:t>Regeste Das Amt, in dessen Kreis der Schuldner zur Zeit der ersten gültigen Pfändungsankündigung seinen Wohnsitz hatte, bleibt für das weitere Verfahren zuständig. Verändert der Schuldner seinen Wohnsitz im Lauf einer Betreibung, so ist von Amtes wegen zu prüfen, ob dies vor oder nach jenem Zeitpunkt geschehen sei. Art. 53 SchKG.</w:t>
      </w:r>
    </w:p>
    <w:p>
      <w:r>
        <w:t>Regeste L'office dans l'arrondissement duquel le débiteur était domicilié lors de la notification du premier avis de saisie reste compétent pour la suite de la procédure. Si le débiteur change de domicile au cours de la poursuite, il y a lieu d'examiner d'office si c'est avant ou après cette notification. Art. 53 LP.</w:t>
      </w:r>
    </w:p>
    <w:p>
      <w:r>
        <w:t>Regesto L'ufficio nel cui circondario il debitore era domiciliato al momento della notifica del primo avviso di pignoramento rimane competente per il seguito della procedura. Ove il debitore cambi domicilio nel corso dell'esecuzione, occorre esaminare d'ufficio se ciò avviene prima oppure dopo tale notifica. Art. 53 LEF.</w:t>
      </w:r>
    </w:p>
    <w:p>
      <w:pPr>
        <w:pStyle w:val="Heading2"/>
      </w:pPr>
      <w:r>
        <w:t>Erwägungen</w:t>
      </w:r>
    </w:p>
    <w:p>
      <w:r>
        <w:rPr>
          <w:b/>
        </w:rPr>
        <w:t>E. 1</w:t>
      </w:r>
    </w:p>
    <w:p>
      <w:r>
        <w:t>Der Rekurrent anerkennt den Betreibungsort Bern und beschwert sich nur über die Art der Pfändungsankündigung und des Pfändungsvollzuges. Da aber die kantonale Aufsichtsbehörde feststellt, er sei "nunmehr in Basel wohnhaft", muss von Amtes wegen abgeklärt werden, ob er in Basel allenfalls bereits vor der Pfändungsankündigung festen Wohnsitz erworben habe. In diesem Falle wäre das Betreibungsamt Bern zur Fortsetzung der Betreibung nicht mehr zuständig gewesen (Gegenschluss aus Art. 53 SchKG ), und zwar hätte man es mit einer unbedingt zwingenden Verfahrensnorm zu tun, mit der Folge der Nichtigkeit der vom unzuständigen Betreibungsamt vorgenommenen Pfändungshandlungen ( BGE 68 III 35 ). Ob der Rekurrent (dessen Familie, die er "gelegentlich" besucht, in Wabern bei Bern wohnen geblieben ist) in Basel einen festen Wohnsitz im Sinne von Art. 46 SchKG (entsprechend Art. 23 ZGB ) erworben hat, und wann dies allenfalls geschehen ist, lässt sich den vorliegenden Akten nicht mit Sicherheit entnehmen. Das führt zur Rückweisung der Sache an die Vorinstanz, welche über den für die Fortsetzung der Betreibung zutreffenden Betreibungsort zu entscheiden und, wenn sich Bern als BGE 80 III 99 S. 102 unzuständig erweisen sollte, die nichtigen Handlungen des Betreibungsamtes Bern aufzuheben haben wird. Hiebei ist nicht etwa der Zeitpunkt der Pfändungsankündigung vom 25. Mai 1954, sondern - für das ganze weitere Verfahren - derjenige der ersten Pfändungsankündigung massgebend, es wäre denn, dass sie ihrerseits nichtig war oder wegen Gesetzesverletzung aufgehoben wurde. War die Pfändungsankündigung, die dem Fortsetzungsbegehren vom 25. Januar 1954 Folge gab und zur Pfändung vom 2. Februar 1954 führte, gültig, so kommt es somit nur darauf an, ob der Rekurrent damals seinen Wohnsitz in Bern beibehalten oder schon nach Basel verlegt hatte. Denn der ordentliche Betreibungsort, wie er in dem Zeitpunkt gegeben ist, da es in der betreffenden Betreibung einmal zu einer gültigen Pfändungsankündigung kommt, soll für das ganze weitere Betreibungsverfahren fortbestehen, gleichgültig ob der Schuldner später an einen andern Ort übersiedelt und dann allenfalls neue, ihm wiederum anzukündigende Pfändungen erfolgen. Sollte also hier eine gültige Pfändungsankündigung Ende Januar oder Anfang Februar 1954 ergangen und der Rekurrent erst am 18. Februar nach Basel verzogen sein (wie in einem Brief seiner Ehefrau vom 25. Juli 1954 zu lesen ist), so wäre der Betreibungsort Bern bestehen geblieben.</w:t>
      </w:r>
    </w:p>
    <w:p>
      <w:r>
        <w:rPr>
          <w:b/>
        </w:rPr>
        <w:t>E. 2</w:t>
      </w:r>
    </w:p>
    <w:p>
      <w:r>
        <w:t>In diesem Falle konnten, was zu den Rekursvorbringen bemerkt sei, gewöhnliche (d.h. nicht in Wertpapieren verkörperte) Forderungen des Rekurrenten (in dessen Gegenwart) in Bern als dem weiterhin für diese Betreibung zu fingierenden Wohnorte gepfändet werden (vgl. JAEGER, N. 5 zu Art. 89 SchKG ). Im übrigen ist hier zu den Rekursvorbringen nicht Stellung zu nehmen. Werden sie doch gegenstandslos, falls die in Bern ergangenen Fortsetzungshandlungen sich als nichtig erweisen sollten. Andernfalls wird die kantonale Aufsichtsbehörde sie bei der neuen Beurteilung der Beschwerde zu berücksichtigen haben. BGE 80 III 99 S. 103 Dispositiv Demnach erkennt die Schuldbetr.- u. Konkurskammer: Der Rekurs wird dahin gutgeheissen, dass der angefochtene Entscheid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