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7</w:t>
      </w:r>
    </w:p>
    <w:p>
      <w:r>
        <w:t>Bundesgericht (BGE), 1954-01-01, DE</w:t>
      </w:r>
    </w:p>
    <w:p>
      <w:r>
        <w:rPr>
          <w:b/>
        </w:rPr>
        <w:t xml:space="preserve">Quelle: </w:t>
      </w:r>
      <w:r>
        <w:t>https://mcp.opencaselaw.ch/entscheid/bge_BGE_80_III_7</w:t>
      </w:r>
    </w:p>
    <w:p>
      <w:r>
        <w:t>FR: ATF 80 III 7</w:t>
      </w:r>
    </w:p>
    <w:p>
      <w:r>
        <w:t>IT: DTF 80 III 7</w:t>
      </w:r>
    </w:p>
    <w:p>
      <w:pPr>
        <w:pStyle w:val="Heading2"/>
      </w:pPr>
      <w:r>
        <w:t>Regeste</w:t>
      </w:r>
    </w:p>
    <w:p>
      <w:r>
        <w:t>Regeste Gläubigerbezeichnung (Art. 67 Ziff. 1, 69 Ziff. 1 SchKG). Erfordernis einer klaren Bezeichnung. Die Verwendung eines Sammelnamens, der nicht die klare Bezeichnung einer parteifähigen Personenverbindung oder Vermögensmasse ist, sowie die Angabe eines Haupt- und eines Eventualgläubigers sind unzulässig. Verbesserung der Gläubigerbezeichnung in einer Arrestbetreibung nach Ablauf der Frist von Art. 278 Abs. 1 SchKG? Befugnis des Willensvollstreckers zur Eintreibung von Erbschaftsforderungen im eigenen Namen.</w:t>
      </w:r>
    </w:p>
    <w:p>
      <w:r>
        <w:t>Regeste Désignation du créancier (art. 67 ch. 1, 69 ch. 1 LP). Nécessité d'une désignation précise. Il n'est pas admissible de se servir d'un nom collectif qui ne désigne pas clairement un groupe de personnes ou une masse de biens ayant la capacité d'ester en justice, ni d'indiquer un créancier principal et un créancier éventuel. Est-il licite d'améliorer la désignation du créancier dans une poursuite intentée à la suite d'un séquestre après l'expiration du délai prévu à l'art. 278 al. 1 LP? Pouvoir de l'exécuteur testamentaire d'intenter en son nom une poursuite tendant au recouvrement de créances successorales.</w:t>
      </w:r>
    </w:p>
    <w:p>
      <w:r>
        <w:t>Regesto Indicazione del creditore (art. 67 cifra 1, 69 cifra 1 LEF). Il nome del creditore dev'essere indicato in modo chiaro e univoco. Non è ammissibile di servirsi d'un nome collettivo che non designa chiaramente un gruppo di persone o una massa patrimoniale aventi la capacità di stare in giudizio, nè d'indicare un creditore principale e un creditore eventuale. È lecito di rettificare l'indicazione del nome del creditore in un'esecuzione promossa a convalida d'un sequestro, spirato il termine previstodall'art. 278 cp. 1 LEF? Potere dell'esecutore testamentare di promuovere a suo nome un'escuzione per ottenere il pagamento di crediti della successione.</w:t>
      </w:r>
    </w:p>
    <w:p>
      <w:pPr>
        <w:pStyle w:val="Heading2"/>
      </w:pPr>
      <w:r>
        <w:t>Erwägungen</w:t>
      </w:r>
    </w:p>
    <w:p>
      <w:r>
        <w:rPr>
          <w:b/>
        </w:rPr>
        <w:t>E. 1</w:t>
      </w:r>
    </w:p>
    <w:p>
      <w:r>
        <w:t>Obwohl sich die Bezeichnung der rekurrierenden Partei im Ingress der Rekursschrift mit der Gläubigerbezeichnung im Zahlungsbefehl deckt, hat einzig die Rumänische Volksrepublik als Rekurrentin zu gelten; denn in der Rekursbegründung wird wie schon im Rekurs an die Vorinstanz erklärt, heute stehe fest, dass die Rumänische Volksrepublik die Erbin von Dr. Katona sei, und dementsprechend hat Fürsprecher L. die Rekursschrift auch bloss "Namens der Rumänischen Volksrepulik" unterzeichnet.</w:t>
      </w:r>
    </w:p>
    <w:p>
      <w:r>
        <w:rPr>
          <w:b/>
        </w:rPr>
        <w:t>E. 2</w:t>
      </w:r>
    </w:p>
    <w:p>
      <w:r>
        <w:t>Nach Art. 67 Ziff. 1 SchKG ist im Betreibungsbegehren u.a. der Name und Wohnort des Gläubigers anzugeben. Das gleiche gilt nach Art. 69 Ziff. 1 in Verbindung mit Art. 67 Ziff. 1 für den Zahlungsbefehl. Diese Angabe muss, wie das Bundesgericht in seiner Rechtsprechung ( BGE 43 III 177 , BGE 51 III 58 , BGE 62 III 135 , BGE 65 III 99 ) und in seinem Kreisschreiben Nr. 16 vom 3. April BGE 80 III 7 S. 10 1925 ( BGE 51 III 98 ) festgestellt hat, so gefasst sein, dass sie jeden Zweifel darüber ausschliesst, wer als Gläubiger auftritt. Mangels einer klaren und unzweideutigen Bezeichnung ist die Betreibung nichtig. Diesen Grundsatz hat das Bundesgericht vor allem auf Betreibungen angewendet, wo eine nur mit einem Sammelnamen bezeichnete Mehrheit von Personen als Gläubiger erschien, in BGE 62 III 134 ff. aber auch auf eine von einer unklar bezeichneten Einzelperson angehobene Betreibung. Eine Ausnahme ist nur in einem Falle gemacht worden, wo die in Betreibungsbegehren und Zahlungsbefehl enthaltene Gläubigerbezeichnung (Fürst &amp; Cie.) lediglich insofern unklar war, als sie nicht erkennen liess, welche von zwei durch die gleiche Person als unbeschränkt haftende Gesellschaftterin bezw. Liquidatorin vertretenen, zueinander in einem Nachfolgeverhältnis stehenden Kommanditgesellschaften (Fürst &amp; Cie. in Liq. oder A. B. Fürst &amp; Cie.) gemeint war, und diese Unklarheit, die dem Schuldner keinen Nachteil verursacht hatte und von ihm erstmals im Aberkennungsprozess gerügt wurde, nachträglich beseitigt worden war ( BGE 65 III 97 ff.). Im vorliegenden Falle erweist sich demnach auf jeden Fall die im Betreibungsbegehren vom 27. Mai 1953 enthaltene Gläubigerbezeichnung (Erben des Dr. Alomir Elemer Katona) als ungenügend. Diese Bezeichnung könnte, wie die Vorinstanz zutreffend ausgeführt hat, höchstens dann zugelassen werden, wenn angenommen werden dürfte, dass es sich dabei um die klare Bezeichnung einer Personenverbindung oder Vermögensmasse handle, die nach dem in dieser Beziehung massgebenden rumänischen Rechte partei- und prozessfähig ist. Dass es sich so verhalte, hat jedoch die Rekurrentin nicht behauptet, geschweige denn nachgewiesen. Die - vom Betreibungsamt sinngemäss übernommene - Fassung, die Fürsprecher L. der Gläubigerbezeichnung im Schreiben vom 30. Juli 1953 gegeben hat (Alomir Elemer Katona-Stiftung, eventuell die Rumänische Volksrepublik, BGE 80 III 7 S. 11 als Erben von Dr. Katona), ist ebenfalls nicht klar und eindeutig. Daraus, dass die Stiftung, "eventuell" die Rumänische Volksrepublik, als Gläubiger bezeichnet wird, ergibt sich, dass die beiden genannten Personen die in Betreibung gesetzte Forderung nicht als ihnen beiden zustehend geltend machen, sondern dass die Rumänische Volksrepublik nur für den Fall als Gläubigerin auftreten will, dass die Forderung nicht der Stiftung zustehen sollte. Den Schuldner in dieser Weise über die Person des betreibenden Gläubigers im ungewissen zu lassen, ist nicht angängig. Ob er weiss, wovon es abhängt, welche der beiden im Zahlungsbefehl genannten Personen die wirkliche Gläubigerin ist, spielt gar keine Rolle. Der Schuldner muss wissen, wer ihn betreibt. Diese Kenntnis kann für ihn bei der Entscheidung darüber, ob er Rechtsvorschlag erheben soll oder nicht, und im Hinblick auf eine allfällige Zahlung bedeutsam sein. Es ist mit der Möglichkeit zu rechnen, dass er die Forderung bestreiten oder anerkennen und bezahlen will, je nachdem sie vom einen oder andern Prätendenten geltend gemacht wird. In bedingter Form Rechtsvorschlag zu erheben, ist ihm nicht zuzumuten. Eine bedingte Zahlung brächte die Betreibung nicht zum Erlöschen (vgl. BGE 74 III 25 ). Aber auch wenn er die Forderung gegenüber beiden Prätendenten bestreiten will, hat er ein legitimes Interesse daran, von Anfang an genau zu wissen, wer ihm als betreibender Gläubiger gegenübersteht. Das Betreibungsamt seinerseits muss im klaren darüber sein, wer über den Fortgang der Betreibung verfügen (Begehren stellen oder auch die Betreibung ganz oder teilweise zurückziehen) kann und nach Vollstreckungsrecht auf einen allfälligen Erlös Anspruch hat. Auf Grund der vorliegenden Gläubigerbezeichnung kann es das nicht feststellen. Die Tatsache, dass der "Haupt-" und der "Eventualgläubiger" bei Einleitung der Betreibung durch den gleichen Anwalt vertreten waren, erlaubt nicht den Schluss, dass es für das Betreibungsamt gleichgültig sei, welchem von beiden die Rechte des betreibenden Gläubigers BGE 80 III 7 S. 12 zukommen; denn in einem Falle, wo zwei Personen für eine Forderung, die einer von ihnen zusteht, gemeinsam Betreibung anheben, weil sie noch nicht angeben können, welche von ihnen die wirkliche Gläubigerin sei, besteht keine hinlängliche Gewähr dafür, dass beide bis zum Schluss des Verfahrens den gleichen Vertreter haben werden, wie im Falle BGE 65 III 97 für die dort in Frage stehenden Gesellschaften angenommen werden durfte (vgl. S. 101). Es kann auch nicht etwa ohne weiteres erwartet werden, dass von zwei Prätendenten, die zunächst gemeinsam gegen den Schuldner vorgehen, der eine später bei Eintritt eines bestimmten Ereignisses aus freien Stücken die Fortführung der Betreibung und den Anspruch auf den Erlös dem andern überlassen werde. Auch die im Schreiben vom 30. Juli 1953 enthaltene Gläubigerbezeichnung wird also den gesetzlichen Anforderungen nicht gerecht. Der Hinweis der Rekurrentin auf die Möglichkeit einer Hinterlegung gemäss Art. 168 OR ist abwegig. Durch Hinterlegung kann der Betriebene die Betreibung nicht erledigen. Es bedürfte hiezu ausserdem eines Verfahrens nach Art. 85 SchKG . Der Schuldner darf jedoch keinesfalls in die Notwendigkeit versetzt werden, gerichtliche Verfahren einleiten zu müssen, nur weil der Gläubigervertreter bei Anhebung der Betreibung den Gläubiger nicht genau bezeichnen konnte. Die Betreibung Nr. 4590 erweist sich demnach als nichtig, gleichgültig, ob man der Beurteilung die erste oder die zweite Fassung der Gläubigerbezeichnung zugrundelegt.</w:t>
      </w:r>
    </w:p>
    <w:p>
      <w:r>
        <w:rPr>
          <w:b/>
        </w:rPr>
        <w:t>E. 3</w:t>
      </w:r>
    </w:p>
    <w:p>
      <w:r>
        <w:t>Der Umstand, dass Fürsprecher L. nachträglich - erstmals im Rekurs an die Vorinstanz vom 21. November 1953 - die Erklärung abgegeben hat, es stehe nunmehr fest, dass die Rumänische Volksrepublik anstelle der (nicht zur Eintragung gelangten) Stiftung Universalerbin von Dr. Katona geworden sei, kann hieran nichts ändern. Man kann sich fragen, ob das Betreibungsamt überhaupt berechtigt gewesen sei, den Arrest aufrecht zu erhalten, BGE 80 III 7 S. 13 obwohl innert der Frist von Art. 278 Abs. 1 SchKG kein gültiges Betreibungsbegehren gestellt worden war, und dem Gläubigervertreter Gelegenheit zu geben, die Gläubigerbezeichnung in der Betreibung Nr. 4590, die nur beim Bestehen eines gültigen Arrestes in Zürich durchgeführt werden konnte, nach Ablauf jener Frist zu verbessern. Diese Frage kann indes offen bleiben. Selbst wenn man sie nämlich bejaht, waren doch nur solche Verbesserungen beachtlich, die innert der vom Betreibungsamt angesetzten Nachfrist angebracht wurden. Die nachträgliche Verbesserung von Mängeln, die einer Arrestbetreibung anhaften, ohne zeitliche Beschränkung zuzulassen, kommt auf keinen Fall in Frage. Wenn das Amt dem Gläubigervertreter überhaupt erlauben durfte, die Gläubigerbezeichnung nach Ablauf der Prosequierungsfrist zu verbessern, war es also unzweifelhaft berechtigt, ihm hiefür eine peremtorische Frist zu setzen, wie es das am 17. Juli 1953 getan hat. Dass es bei der Bemessung dieser Frist das Gesetz verletzt habe, behauptet die Rekurrentin mit Recht nicht. Sie macht nur geltend, die Frist sei unangemessen kurz gewesen. Fragen der Angemessenheit kann das Bundesgericht nicht überprüfen (Art. 19 im Gegensatz zu Art. 17/18 SchKG). Im übrigen hätten allfällige Einwendungen gegen die Verfügung des Betreibungsamtes vom 17. Juli 1953 innert 10 Tagen durch Beschwerde geltend gemacht werden müssen, was nicht geschehen ist. Die Rekurrentin muss daher diese Verfügung, wonach die Nachfrist am 31. Juli 1953 ablief, gegen sich gelten lassen. Dem Eventualbegehren, mit dem verlangt wird, in der Betreibung Nr. 4590 sei ein neuer Zahlungsbefehl zu erlassen, der gemäss den Ausführungen im Rekurs an die Vorinstanz vom 21. November 1953 lediglich die Rumänische Volksrepublik als Gläubigerin nennt, kann deshalb nicht entsprochen werden, sondern es muss bei der Aufhebung der ganzen Betreibung sein Bewenden haben.</w:t>
      </w:r>
    </w:p>
    <w:p>
      <w:r>
        <w:rPr>
          <w:b/>
        </w:rPr>
        <w:t>E. 4</w:t>
      </w:r>
    </w:p>
    <w:p>
      <w:r>
        <w:t>Diese Entscheidung steht mit dem von der Rekurrentin angerufenen Präjudiz BGE 53 II 208 f. keineswegs im Widerspruch. Es wäre allerdings möglich gewesen, BGE 80 III 7 S. 14 dass der Testamentsvollstrecker von Dr. Katona die in Frage stehende, zum Nachlass von Dr. Katona gehörende Forderung in seinem eignen Namen geltend gemacht hätte (vgl. auch BGE 54 II 200 , BGE 59 II 122 ). Hätte er dies getan und hätte das Betreibungsamt den Zahlungsbefehl gleichwohl einfach auf den Namen der Erben oder mit der Gläubigerbezeichnung "Alomir Elemer Katona-Stiftung, eventuell Rumänische Volksrepublik, als Erben von Dr. Katona" ausgestellt, so hätte ein Begehren um Zustellung eines neuen Zahlungsbefehls mit dem Namen des Testamentsvollstreckers als Gläubigers nicht wegen Verspätung zurückgewiesen werden dürfen, auch wenn es mehr als 10 Tage nach Zustellung des anders lautenden Zahlungsbefehls gestellt worden wäre; denn wenn ein gültiges Betreibungsbegehren vorliegt, kann der Gläubiger jederzeit verlangen, dass der wegen mangelhafter Gläubigerbezeichnung nichtige Zahlungsbefehl durch einen mit dem Betreibungsbegehren übereinstimmenden gültigen ersetzt werde. Dass der Zahlungsbefehl auf den Namen des Testamentsvollstreckers ausgestellt werde, ist aber weder im Betreibungsbegehren noch im Schreiben vom 30. Juli 1953 verlangt worden. Der Testamentsvollstrecker ist im Betreibungsbegehren überhaupt nicht, im Schreiben vom 30. Juli 1953 nur als Mitglied des Stiftungsrates der Alomir Elemer Katona-Stiftung erwähnt. Das Betreibungsamt war weder berechtigt noch verpflichtet, diese Persönlichkeit, die der Gläubigervertreter selber gar nicht als Gläubiger bezeichnet wissen wollte, im Zahlungsbefehl als Gläubiger anzugeben. Es ist im übrigen mindestens zweifelhaft, ob ein auf den Testamentsvollstrecker als Gläubiger lautender Zahlungsbefehl zur Prosequierung des für die "Erben des Dr. Katona" erwirkten Arrestes getaugt hätte.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