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33</w:t>
      </w:r>
    </w:p>
    <w:p>
      <w:r>
        <w:t>Bundesgericht (BGE), 1954-04-29, DE</w:t>
      </w:r>
    </w:p>
    <w:p>
      <w:r>
        <w:rPr>
          <w:b/>
        </w:rPr>
        <w:t xml:space="preserve">Quelle: </w:t>
      </w:r>
      <w:r>
        <w:t>https://mcp.opencaselaw.ch/entscheid/bge_BGE_80_III_33</w:t>
      </w:r>
    </w:p>
    <w:p>
      <w:r>
        <w:t>FR: ATF 80 III 33</w:t>
      </w:r>
    </w:p>
    <w:p>
      <w:r>
        <w:t>IT: DTF 80 III 33</w:t>
      </w:r>
    </w:p>
    <w:p>
      <w:pPr>
        <w:pStyle w:val="Heading2"/>
      </w:pPr>
      <w:r>
        <w:t>Regeste</w:t>
      </w:r>
    </w:p>
    <w:p>
      <w:r>
        <w:t>Regeste 1. Auslegung eines Rekursantrages. 2. Die Anhebung und Fortsetzung der Betreibung am Arrestort ist auch während der Hängigkeit einer Arrestaufhebungsklage (Art. 279 SchKG) zulässig.</w:t>
      </w:r>
    </w:p>
    <w:p>
      <w:r>
        <w:t>Regeste 1. Interprétation des conclusions d'un recours. 2. La poursuite au lieu du séquestre peut être introduite et continuée même si le procès en annulation du séquestre (art. 279 LP) est encore pendant.</w:t>
      </w:r>
    </w:p>
    <w:p>
      <w:r>
        <w:t>Regesto 1. Interpretazione delle conclusioni d'un ricorso. 2. L'esecuzione può essere promossa e proseguita al luogo del sequestro anche in pendenza dell'azione per la rivocazione del sequestro (art. 279 LEF).</w:t>
      </w:r>
    </w:p>
    <w:p>
      <w:pPr>
        <w:pStyle w:val="Heading2"/>
      </w:pPr>
      <w:r>
        <w:t>Erwägungen</w:t>
      </w:r>
    </w:p>
    <w:p>
      <w:r>
        <w:rPr>
          <w:b/>
        </w:rPr>
        <w:t>E. 1</w:t>
      </w:r>
    </w:p>
    <w:p>
      <w:r>
        <w:t>Entgegen dem unklar gefassten Rekursantrag will der Schuldner nicht nur einer künftigen Fortsetzung der Arrestbetreibung vorbeugen (was nicht Gegenstand einer Beschwerde bilden könnte, vgl. Art. 17 in Verbindung mit Art. 21 SchKG ). Vielmehr will er, wie aus der Rekursbegründung hervorgeht, entsprechend seiner Stellungnahme in kantonaler Instanz die Arrestbetreibung als solche, also den Zahlungsbefehl, anfechten. Die Fristen der Art. 17 ff. SchKG sind eingehalten.</w:t>
      </w:r>
    </w:p>
    <w:p>
      <w:r>
        <w:rPr>
          <w:b/>
        </w:rPr>
        <w:t>E. 2</w:t>
      </w:r>
    </w:p>
    <w:p>
      <w:r>
        <w:t>Dem angefochtenen Entscheid ist darin beizustimmen, dass der in Basel gelegte Arrest nach Art. 52 SchKG dort auch einen Betreibungsort begründet. Zu prüfen bleibt die Einwendung des Rekurrenten, während der Hängigkeit der Arrestaufhebungsklage sei eine Arrestbetreibung nicht zulässig. Dieser Standpunkt vermag sich auf keine gesetzliche Bestimmung zu stützen. Art 279 SchKG sieht am Schlusse lediglich vor, dass während des Arrestaufhebungsprozesses die Fristen des Art. 278 nicht laufen. Das bedeutet nur, während eines solchen Prozesses BGE 80 III 33 S. 35 bleibe der Arrest bestehen, ohne vom Gläubiger binnen der kurzen Fristen des Art. 278 durch Betreibung und, wenn Recht vorgeschlagen wird, durch ein Rechtsöffnungsbegehren oder eine Forderungsklage prosequiert werden zu müssen. Es ist danach in das Belieben des Gläubigers gestellt, ob er vor irgendwelchen Prosequierungshandlungen den Ausgang des Arrestaufhebungsprozesses abwarten oder aber ohne Rücksicht auf diesen Prozess zur Prosequierung des Arrestes schreiten will (so denn auch die einmütige Lehre; vgl. JAEGER, N. 7 zu Art. 279 SchKG ; BONNARD, Le séquestre, p. 209/10; JUD, Arrestrecht, S. 69; BLUMENSTEIN, Schuldbetreibungsrecht, S. 844). Unterbleibt ein Rechtsvorschlag, oder wird er beseitigt, bevor der Arrestaufhebungsprozess zu Ende kommt, so ist der Gläubiger auch nicht gehindert, die Betreibung gemäss Art. 280 SchKG fortzusetzen. Ja, es kann unter Umständen, bevor über die Arrestaufhebungklage entschieden ist, auf Begehren des Arrestgläubigers zur Verwertung der arrestierten Gegenstände kommen, da das Gesetz eben der Arrestaufhebungsklage keine hemmende Wirkung in bezug auf Anhebung und Fortsetzung der Arrestbetreibung beilegt. Die hängige Arrestaufhebungsklage bot somit dem Schuldner keinen zureichenden Grund, sich über die am Arrestort Basel angehobene Betreibung zu beschweren. Sollte sich der Arrest als ungerechtfertigt erweisen, so würde der Gläubiger für einen dem Schuldner daraus erwachsenen Schaden haften ( Art. 273 SchKG ). Inzwischen ist der Schuldner nicht etwa schutzlos. Er kann den Gläubiger nach verbreiteter kantonaler Gerichtspraxis auch noch im Arrestaufhebungsprozess zur Sicherheitsleistung verhalten lassen (vgl. JAEGER-DAENIKER, N. 5 zu Art. 273 SchKG ).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