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25</w:t>
      </w:r>
    </w:p>
    <w:p>
      <w:r>
        <w:t>Bundesgericht (BGE), 1954-02-01, DE</w:t>
      </w:r>
    </w:p>
    <w:p>
      <w:r>
        <w:rPr>
          <w:b/>
        </w:rPr>
        <w:t xml:space="preserve">Quelle: </w:t>
      </w:r>
      <w:r>
        <w:t>https://mcp.opencaselaw.ch/entscheid/bge_BGE_80_III_25</w:t>
      </w:r>
    </w:p>
    <w:p>
      <w:r>
        <w:t>FR: ATF 80 III 25</w:t>
      </w:r>
    </w:p>
    <w:p>
      <w:r>
        <w:t>IT: DTF 80 III 25</w:t>
      </w:r>
    </w:p>
    <w:p>
      <w:pPr>
        <w:pStyle w:val="Heading2"/>
      </w:pPr>
      <w:r>
        <w:t>Regeste</w:t>
      </w:r>
    </w:p>
    <w:p>
      <w:r>
        <w:t>Regeste Widerspruchsverfahren um ein unter Eigentumsvorbehalt des Verkäufers stehendes Automobil, dessen Pfändung sich die Ehefrau des Schuldners als angebliche Käuferin widersetzt. Verteilung der Parteirollen. Kriterien des Gewahrsams und allfälligen Mitgewahrsams. Art. 106-109 SchKG.</w:t>
      </w:r>
    </w:p>
    <w:p>
      <w:r>
        <w:t>Regeste Procédure de revendication au sujet d'une automobile vendue sous réserve de propriété et à la saisie de laquelle s'oppose la femme du débiteur, celle-ci prétendant que c'est elle qui l'a achetée. Répartition du rôle des parties. Critères de la possession et d'une éventuelle copossession. Art. 106 à 109 LP.</w:t>
      </w:r>
    </w:p>
    <w:p>
      <w:r>
        <w:t>Regesto Procedura di rivendicazione concernente un'automobile, venduta sotto riserva della proprietà, al pignoramento della quale si è opposta la moglie del debitore asserendo che è stata comperata da lei e non dal marito. Chi deve farsi attore e chi deve assumere la parte di convenuto nel processo? Criteri del possesso e dell'eventuale compossesso. Art. 106 a 109 LEF.</w:t>
      </w:r>
    </w:p>
    <w:p>
      <w:pPr>
        <w:pStyle w:val="Heading2"/>
      </w:pPr>
      <w:r>
        <w:t>Erwägungen</w:t>
      </w:r>
    </w:p>
    <w:p>
      <w:r>
        <w:rPr>
          <w:b/>
        </w:rPr>
        <w:t>E. 1</w:t>
      </w:r>
    </w:p>
    <w:p>
      <w:r>
        <w:t>Trotz dem unbestrittenen Eigentumsvorbehalt zugunsten der "Abri" Kreditgesellschaft war das Automobil selbst zu pfänden, als ob es bereits im Eigentum des Käufers stünde. Denn wirtschaftlich betrachtet "gehört" eine unter Eigentumsvorbehalt des Verkäufers stehende BGE 80 III 25 S. 27 Sache doch schon dem Käufer. Sofern und solange der Verkäufer das vorbehaltene Eigentum nicht durch Rücknahme der Sache gemäss Art. 226 OR geltend macht, verschafft ihm der Vorbehalt eine pfandrechtsähnliche Sicherheit für seine restliche Kaufpreisforderung, durch deren Bezahlung der Käufer den Eigentumsvorbehalt hinfällig machen kann. Deshalb eben ordnet das Kreisschreiben Nr. 29 der Schuldbetreibungs- und Konkurskammer vom 31. März 1911 in solchen Fällen die Pfändung der Sache selbst an. Das dem Verkäufer vorbehaltene Eigentum für die allerseits anerkannte oder gerichtlich festgestellte Restforderung ist dabei wie ein Pfandrecht nach dem sog. Deckungsprinzip zu berücksichtigen. Die Sache wird also nur verwertet, wenn sich daraus mehr als der restliche Kaufpreisbetrag lösen lässt, der alsdann vorweg dem Verkäufer (bzw. dessen Zessionar) auszuzahlen ist (vgl. den Schlussabschnitt des erwähnten Kreisschreibens). Die demgemäss erfolgte Sachpfändung ist von niemandem, auch nicht von der Drittansprecherin beanstandet worden. Dennoch möchte sie für die Verteilung der Parteirollen auf die obligatorische Natur des Anspruchs auf Eigentumserwerb abstellen, wie er wegen des zugunsten der "Abri" Kreditgesellschaft bestehenden Eigentumsvorbehaltes vorderhand allein in Frage kommt. Dieser Betrachtungsweise ist der angefochtene Entscheid mit Recht nicht gefolgt. Das Widerspruchsverfahren muss sich auf den Gegenstand der Pfändung beziehen. Ist aus den erwähnten Gründen die Sache gepfändet worden, als stünde sie bereits im Eigentum des Käufers, mit dinglicher Sicherung der Restforderung des Verkäufers, so hat man es mit einem Widerspruchsverfahren um Sachen, nicht um obligatorische Ansprüche zu tun. Freilich wird es für die materielle Entscheidung eine Rolle spielen, wer (der Schuldner oder die Drittansprecherin) das Auto gekauft habe. Das wäre aber nicht anders beim Streit um das Eigentum selbst bei bereits völlig abbezahltem Kaufpreis. Und doch ist für die Verteilung der Parteirollen nach BGE 80 III 25 S. 28 Art. 106-109 SchKG eben der Gewahrsam an der gepfändeten Sache massgebend.</w:t>
      </w:r>
    </w:p>
    <w:p>
      <w:r>
        <w:rPr>
          <w:b/>
        </w:rPr>
        <w:t>E. 2</w:t>
      </w:r>
    </w:p>
    <w:p>
      <w:r>
        <w:t>Als alleinigen Inhaber des Gewahrsams an einem Motorfahrzeug hat die Rechtsprechung bei unsichern Benutzungsverhältnissen etwa den Titular des Fahrzeugausweises betrachtet ( BGE 60 III 219 , BGE 64 III 138 ). Gewiss kommt diesem Merkmal, wie wiederholt entschieden wurde, nicht ausschliessliche Bedeutung zu ( BGE 67 III 144 , BGE 76 III 38 ). Im vorliegenden Falle ist aber ausser dem auf den Schuldner ausgestellten Fahrzeugausweis von Bedeutung, dass er allein den Wagen benutzt und ihn in einer von ihm gemieteten Garage unterzubringen pflegt. Bei dieser Sachlage ist der Ehefrau kein Mitgewahrsam an dem Wagen zuzuschreiben, bloss weil sie auch einen Schlüssel zu der Garage hat und sich gelegentlich allein dorthin begibt, um nach andern dort verwahrten Sachen zu sehen oder auch etwa das Auto zu reinigen - eine Verrichtung, die auch einem Angestellten (z.B. einem Chauffeur) obliegen oder vom Garagisten besorgt werden kann und keine Herrschaft über das Fahrzeug in Erscheinung treten lässt. Dispositiv Demnach erkennt die Schuldbetr.- u. Konkurskammer: Der Rekurs wird gutgeheissen, der angefochtene Entscheid aufgehoben und das Betreibungsamt Bern angewiesen, der Rekursgegnerin Frau Pulver neuerdings Frist zur Widerspruchsklage gegen den Rekurrenten nach Art. 107 SchKG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