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8</w:t>
      </w:r>
    </w:p>
    <w:p>
      <w:r>
        <w:t>Bundesgericht (BGE), 2024-03-15, FR</w:t>
      </w:r>
    </w:p>
    <w:p>
      <w:r>
        <w:rPr>
          <w:b/>
        </w:rPr>
        <w:t xml:space="preserve">Quelle: </w:t>
      </w:r>
      <w:r>
        <w:t>https://mcp.opencaselaw.ch/entscheid/bge_BGE_151_IV_8</w:t>
      </w:r>
    </w:p>
    <w:p>
      <w:r>
        <w:t>FR: ATF 151 IV 8</w:t>
      </w:r>
    </w:p>
    <w:p>
      <w:r>
        <w:t>IT: DTF 151 IV 8</w:t>
      </w:r>
    </w:p>
    <w:p>
      <w:pPr>
        <w:pStyle w:val="Heading2"/>
      </w:pPr>
      <w:r>
        <w:t>Regeste</w:t>
      </w:r>
    </w:p>
    <w:p>
      <w:r>
        <w:t>Regeste Art. 47 und 190 StGB; Vergewaltigung, Dauer. Die "relativ kurze" Dauer einer Vergewaltigung bildet keinen Strafminderungsgrund (E. 1.4.2).</w:t>
      </w:r>
    </w:p>
    <w:p>
      <w:r>
        <w:t>Regeste Art. 47 et 190 CP; viol, durée. La durée "relativement courte" d'un viol ne saurait être érigée en facteur atténuant (consid. 1.4.2).</w:t>
      </w:r>
    </w:p>
    <w:p>
      <w:r>
        <w:t>Regesto Art. 47 e 190 CP; violenza carnale, durata. La durata "relativamente breve" di una violenza carnale non costituisce un elemento di attenuazione della pena (consid. 1.4.2).</w:t>
      </w:r>
    </w:p>
    <w:p>
      <w:pPr>
        <w:pStyle w:val="Heading2"/>
      </w:pPr>
      <w:r>
        <w:t>Erwägungen</w:t>
      </w:r>
    </w:p>
    <w:p>
      <w:r>
        <w:rPr>
          <w:b/>
        </w:rPr>
        <w:t>E. 1</w:t>
      </w:r>
    </w:p>
    <w:p>
      <w:r>
        <w:t>(...) 1.4.2 Le recourant soutient que la cour cantonale aurait dû atténuer sa culpabilité en raison "de la brièveté de l'acte". Pour ce faire, il se prévaut de l'arrêt 7B_15/2021 du 19 septembre 2023 en affirmant que la durée relativement courte d'un viol serait un facteur de diminution de la culpabilité. Le recourant ne saurait tirer une telle conclusion générale. Cet arrêt ne renferme qu'une formule isolée et inadéquate, alors que la question BGE 151 IV 8 S. 10 de la durée de l'acte n'a pas fait l'objet de développement de la part du Tribunal fédéral. De manière générale et contrairement à ce que pourrait laisser supposer l'arrêt précité, il convient de rappeler que la durée d'une agression sexuelle est sans lien avec la gravité de la lésion du bien juridique protégé. La désignation de "viol de courte durée" constitue un non-sens, tant l'atteinte au bien juridique protégé est consommée dès les premiers instants de l'acte sexuel. Sous l'angle de la culpabilité, on ne saurait récompenser l'auteur d'un viol en fonction de la durée de son activité criminelle. En aucun cas la durée "relativement courte" d'un viol ne saurait être érigée en facteur atténuant. En effet, le fait qu'un auteur agisse avec une certaine rapidité ne peut nullement être considéré comme un élément à décharge. En revanche, rien n'empêche de prendre en compte la durée de l'activité criminelle dans un sens aggravant de la culpabilité dans la mesure où son prolongement dans le temps est susceptible de correspondre au déploiement d'une énergie criminelle d'autant plus conséquente. Partant, le grief est rejeté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