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344</w:t>
      </w:r>
    </w:p>
    <w:p>
      <w:r>
        <w:t>Bundesgericht (BGE), 2025-01-01, DE</w:t>
      </w:r>
    </w:p>
    <w:p>
      <w:r>
        <w:rPr>
          <w:b/>
        </w:rPr>
        <w:t xml:space="preserve">Quelle: </w:t>
      </w:r>
      <w:r>
        <w:t>https://mcp.opencaselaw.ch/entscheid/bge_BGE_151_III_344</w:t>
      </w:r>
    </w:p>
    <w:p>
      <w:r>
        <w:t>FR: ATF 151 III 344</w:t>
      </w:r>
    </w:p>
    <w:p>
      <w:r>
        <w:t>IT: DTF 151 III 344</w:t>
      </w:r>
    </w:p>
    <w:p>
      <w:pPr>
        <w:pStyle w:val="Heading2"/>
      </w:pPr>
      <w:r>
        <w:t>Regeste</w:t>
      </w:r>
    </w:p>
    <w:p>
      <w:r>
        <w:t>Regeste Art. 319 lit. b Ziff. 1 ZPO. Bei qualifizierten prozessleitenden Verfügungen gemäss Art. 319 lit. b Ziff. 1 ZPO besteht eine Anfechtungsobliegenheit, womit die Anfechtungsmöglichkeit mit Ablauf der Beschwerdefrist verwirkt (E. 2).</w:t>
      </w:r>
    </w:p>
    <w:p>
      <w:r>
        <w:t>Regeste Art. 319 let. b ch. 1 CPC. Il existe une incombance de contester les ordonnances d'instruction dites "qualifiées", visées à l'art. 319 let. b ch. 1 CPC, de sorte que la possibilité de les contester se périme à l'échéance du délai de recours (consid. 2).</w:t>
      </w:r>
    </w:p>
    <w:p>
      <w:r>
        <w:t>Regesto Art. 319 lett. b n. 1 CPC. Per le disposizioni ordinatorie processuali di natura qualificata secondo l'art. 319 lett. b n. 1 CPC esiste un obbligo di impugnazione, ragione per cui la possibilità di impugnarle si estingue per perenzione con lo scadere del termine di ricorso (consid. 2).</w:t>
      </w:r>
    </w:p>
    <w:p>
      <w:pPr>
        <w:pStyle w:val="Heading2"/>
      </w:pPr>
      <w:r>
        <w:t>Erwägungen</w:t>
      </w:r>
    </w:p>
    <w:p>
      <w:r>
        <w:rPr>
          <w:b/>
        </w:rPr>
        <w:t>E. 2</w:t>
      </w:r>
    </w:p>
    <w:p>
      <w:r>
        <w:t>Der Beschwerdeführer macht geltend, die Vorinstanz sei in verfassungswidriger Weise nicht auf seine Beschwerde eingetreten. Zwar habe er die Verfügung vom 12. August 2022 in der Tat nicht separat angefochten; es stehe ihm aber offen, diese zusammen mit dem Endentscheid noch anzufechten. Indem die Vorinstanz dennoch auf seine Beschwerde nicht eingetreten sei, habe sie diverse aus Art. 29 BV sowie Art. 6 Ziff. 1 EMRK fliessende verfassungsmässige Rechte verletzt. BGE 151 III 344 S. 346</w:t>
      </w:r>
    </w:p>
    <w:p>
      <w:r>
        <w:rPr>
          <w:b/>
        </w:rPr>
        <w:t>E. 2.1</w:t>
      </w:r>
    </w:p>
    <w:p>
      <w:r>
        <w:t>Für die Beschwerdefähigkeit der sogenannten anderen erstinstanzlichen Entscheide und prozessleitenden Verfügungen sieht das Gesetz zwei Unterkategorien vor: Soweit das Gesetz die Beschwerde ausdrücklich erwähnt, ist sie nach Art. 319 lit. b Ziff. 1 ZPO zulässig, während ohne gesetzliche Nennung die Beschwerdefähigkeit nur bei drohendem, nicht leicht wiedergutzumachendem Nachteil gegeben ist ( Art. 319 lit. b Ziff. 2 ZPO ). Die anderen erstinstanzlichen Entscheide und prozessleitenden Verfügungen der ersten Kategorie werden als "qualifiziert", diejenigen der zweiten als "einfach" oder "gewöhnlich" bezeichnet (SUTTER-SOMM/SEILER, Handkommentar zur Schweizerischen Zivilprozessordnung, 2021, N. 10 zu Art. 319 ZPO ; DANIELLE SCHWENDENER, in: Schweizerische Zivilprozessordnung [ZPO], Kommentar, Brunner/Schwander/Vischer [Hrsg.], 3. Aufl. 2025, N. 24 und N. 40 zu Art. 319 ZPO ).</w:t>
      </w:r>
    </w:p>
    <w:p>
      <w:r>
        <w:rPr>
          <w:b/>
        </w:rPr>
        <w:t>E. 2.2</w:t>
      </w:r>
    </w:p>
    <w:p>
      <w:r>
        <w:t>Unbestrittenermassen können die qualifizierten anderen erstinstanzlichen Entscheide und prozessleitenden Verfügungen kraft expliziter gesetzlicher Regelung ohne weitere Voraussetzungen selbständig mit Beschwerde angefochten werden.</w:t>
      </w:r>
    </w:p>
    <w:p>
      <w:r>
        <w:rPr>
          <w:b/>
        </w:rPr>
        <w:t>E. 2.2.1</w:t>
      </w:r>
    </w:p>
    <w:p>
      <w:r>
        <w:t>Nach überwiegender Meinung in der Doktrin besteht insoweit eine Anfechtungsobliegenheit, wobei die Anfechtungsmöglichkeit mit Ablauf der Beschwerdefrist verwirkt (PETER REETZ, in: Kommentar zur Schweizerischen Zivilprozessordnung [ZPO], Sutter-Somm/ Lötscher/Leuenberger/Seiler [Hrsg.], 4. Aufl. 2025, N. 5 der Vorbemerkungen zu den Art. 308-318 ZPO ; BRUNNER/VISCHER, in: ZPO, Oberhammer/Domej/Haas [Hrsg.], 3. Aufl. 2021, N. 13 zu Art. 319 ZPO ; URS H. HOFFMANN-NOWOTNY, in: ZPO-Rechtsmittel Berufung und Beschwerde, Kunz/Hoffmann-Nowotny/Stauber [Hrsg.], 2013, N. 16 zu Art. 319 ZPO ; NICOLAS JEANDIN, in: Commentaire romand, Code de procédure civile, 2. Aufl. 2019, N. 20 zu Art. 319 ZPO ; FRANÇOISE BASTONS BULLETTI, in: CPC, Code de procédure civile, Chabloz/Dietschy-Martenet/Heinzmann [Hrsg.], 2021, N. 9 zu Art. 319 ZPO ; KAUFMANN/KAUFMANN, in: Schweizerische Zivilprozessordnung [ZPO], Kommentar, Brunner/Schwander/Vischer [Hrsg.], 3. Aufl. 2025, N. 23 zu Art. 124 ZPO ; vgl. SUTTER-SOMM/ SEILER, a.a.O., N. 11 zu Art. 319 ZPO ), was unter anderem mit dem Gebot der Prozessökonomie und dem Prinzip der Einmaligkeit des Rechtsschutzes (REETZ, a.a.O., N. 5 der Vorbemerkungen zu den Art. 308-318 ZPO ) sowie mit der namentlich beim Entscheid über den Ausstandsgrund ( Art. 50 Abs. 2 ZPO ) unzweifelhaft BGE 151 III 344 S. 347 erforderlichen unmittelbaren und sofortigen Anfechtung (STEPHAN WULLSCHLEGER, in: Kommentar zur Schweizerischen Zivilprozessordnung [ZPO], Sutter-Somm/Lötscher/Leuenberger/Seiler [Hrsg.], 4. Aufl. 2025, N. 16 zu Art. 319 ZPO ) begründet wird.</w:t>
      </w:r>
    </w:p>
    <w:p>
      <w:r>
        <w:rPr>
          <w:b/>
        </w:rPr>
        <w:t>E. 2.2.2</w:t>
      </w:r>
    </w:p>
    <w:p>
      <w:r>
        <w:t>Nach anderer Meinung sollte eine Obliegenheit zur selbständigen Anfechtung nur dann gelten, wenn der Verfahrensablauf dies bedingt, zumal das Gesetz bei den hier zur Diskussion stehenden Anordnungen - anders als bei Zwischenentscheiden nach Art. 237 Abs. 2 ZPO - eine spätere Anfechtung zusammen mit dem Endentscheid nicht ausdrücklich ausschliesst (THOMAS SUTTER-SOMM, Schweizerisches Zivilprozessrecht, 3. Aufl. 2017, Rz. 1390; vgl. auch JAKOB STEINER, Die Beschwerde nach der Schweizerischen Zivilprozessordnung, 2019, Rz. 357 f., wonach die Annahme einer Anfechtungsobliegenheit im Hinblick auf die Regelung im Verfahren vor Bundesgericht unzweckmässig erscheint, da eine qualifizierte prozessleitende Verfügung unter Umständen nicht selbständig ans Bundesgericht weitergezogen werden könne, womit mit dem Weiterzug an das Bundesgericht bis zum Rechtsmittelentscheid der oberen kantonalen Instanz in der Hauptsache zugewartet werden müsste, was weder zu einer Beschleunigung noch zu einer Vereinfachung des Verfahrens führen würde).</w:t>
      </w:r>
    </w:p>
    <w:p>
      <w:r>
        <w:rPr>
          <w:b/>
        </w:rPr>
        <w:t>E. 2.2.3</w:t>
      </w:r>
    </w:p>
    <w:p>
      <w:r>
        <w:t>Der überwiegenden Meinung ist zu folgen: In der gesetzlich vorgesehenen direkten Anfechtungsmöglichkeit ist implizit der gesetzgeberische Entscheid für eine Anfechtungsobliegenheit zu sehen. In diesen Fällen erachtet der Gesetzgeber eine spätere Anfechtung als nicht sachgerecht respektive nicht prozessökonomisch, weshalb von den Parteien nach Treu und Glauben ( Art. 52 ZPO ) erwartet werden darf, eine bestehende Anfechtungsmöglichkeit zu nutzen, andernfalls vom Einverständnis mit der Anordnung ausgegangen werden darf und muss. Im Ergebnis dient eine generelle Anfechtungsobliegenheit für qualifizierte prozessleitende Verfügungen nach Art. 319 lit. b Ziff. 1 ZPO auch der Rechtssicherheit. Demnach besteht bei qualifizierten prozessleitenden Verfügungen gemäss Art. 319 lit. b Ziff. 1 ZPO eine Anfechtungsobliegenheit, womit die Anfechtungsmöglichkeit mit Ablauf der Beschwerdefrist verwirkt. Die selbständig eröffnete qualifizierte prozessleitende Verfügung kann demnach nach Ablauf der Beschwerdefrist nicht mehr mit dem Endentscheid angefochten werden. BGE 151 III 344 S. 348 Damit ist die Vorinstanz zu Recht nicht auf die Beschwerde des Beschwerdeführers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