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57</w:t>
      </w:r>
    </w:p>
    <w:p>
      <w:r>
        <w:t>Bundesgericht (BGE), 2020-03-17, DE</w:t>
      </w:r>
    </w:p>
    <w:p>
      <w:r>
        <w:rPr>
          <w:b/>
        </w:rPr>
        <w:t xml:space="preserve">Quelle: </w:t>
      </w:r>
      <w:r>
        <w:t>https://mcp.opencaselaw.ch/entscheid/bge_BGE_150_V_57</w:t>
      </w:r>
    </w:p>
    <w:p>
      <w:r>
        <w:t>FR: ATF 150 V 57</w:t>
      </w:r>
    </w:p>
    <w:p>
      <w:r>
        <w:t>IT: DTF 150 V 57</w:t>
      </w:r>
    </w:p>
    <w:p>
      <w:pPr>
        <w:pStyle w:val="Heading2"/>
      </w:pPr>
      <w:r>
        <w:t>Regeste</w:t>
      </w:r>
    </w:p>
    <w:p>
      <w:r>
        <w:t>Regeste Art. 1 Covid-19-Verordnung Erwerbsausfall (in Kraft vom 17. März 2020 bis 31. Dezember 2022) in Verbindung mit Art. 25 Abs. 1 Satz 2 ATSG; Art. 24 Covid-19-SBüG (in der bis 31. Dezember 2022 in Kraft gewesenen Fassung); Erlass der Rückerstattung von unrechtmässig bezogenem Corona-Erwerbsersatz; Berücksichtigung eines Covid-19-Kredites als Eigen- oder Fremdkapital. Zum Kriterium der grossen Härte bei einer um Erlass der Rückerstattung von unrechtmässig bezogenem Corona-Erwerbsersatz ersuchenden juristischen Person (E. 5.1-5.3.4). Im Rahmen der Prüfung der Frage, ob eine Überschuldung besteht oder unmittelbar droht, sind Covid-19-Kredite - ungeachtet der Bestimmung von Art. 24 Covid-19-SBüG - als Fremdkapital zu berücksichtigen (E. 5.4.1-5.4.3).</w:t>
      </w:r>
    </w:p>
    <w:p>
      <w:r>
        <w:t>Regeste Art. 1 de l'ordonnance sur les pertes de gain COVID-19 (en vigueur du 17 mars 2020 au 31 décembre 2022) en lien avec l'art. 25 al. 1, 2 e phrase, LPGA; art. 24 LCaS-COVID-19 (dans sa version en vigueur jusqu'au 31 décembre 2022); remise de l'obligation de restituer des allocations perte de gain COVID indûment touchées; prise en compte d'un crédit COVID-19 en tant que capitaux propres ou étrangers. Examen du critère de la situation difficile pour une personne morale requérant la remise de l'obligation de restituer des allocations perte de gain COVID indûment touchées (consid. 5.1-5.3.4). Dans le cadre de l'examen de la question de savoir s'il existe un surendettement ou la menace d'un surendettement imminent, les crédits COVID-19 doivent être pris en compte - en dépit de la teneur de l'art. 24 LCaS-COVID-19 - en tant que capitaux étrangers (consid. 5.4.1-5.4.3).</w:t>
      </w:r>
    </w:p>
    <w:p>
      <w:r>
        <w:t>Regesto Art. 1 dell'ordinanza COVID-19 perdita di guadagno (in vigore dal 17 marzo 2020 al 31 dicembre 2022) in relazione con l'art. 25 cpv. 1, seconda frase, LPGA; art. 24 LFiS-COVID-19 (nella versione in vigore fino al 31 dicembre 2022); condono dell'obbligo di restituzione delle indennità di perdita di guadagno COVID indebitamente riscosse; riconoscimento di un credito COVID-19 come capitale proprio o capitale di terzi. Esame del criterio delle gravi difficoltà nel caso in cui una persona giuridica richieda il condono dell'obbligo di restituzione delle indennità di perdita di guadagno COVID indebitamente riscosse (consid. 5.1-5.3.4). Nell'esaminare la questione dell'esistenza di un sovraindebitamento o del suo rischio imminente, i crediti COVID-19 devono essere presi in considerazione - nonostante la norma dell'art. 24 LFiS-COVID-19 - come capitale di terzi (consid. 5.4.1-5.4.3).</w:t>
      </w:r>
    </w:p>
    <w:p>
      <w:pPr>
        <w:pStyle w:val="Heading2"/>
      </w:pPr>
      <w:r>
        <w:t>Erwägungen</w:t>
      </w:r>
    </w:p>
    <w:p>
      <w:r>
        <w:rPr>
          <w:b/>
        </w:rPr>
        <w:t>E. 3</w:t>
      </w:r>
    </w:p>
    <w:p>
      <w:r>
        <w:t>Streitig und zu prüfen ist, ob die Vorinstanz Bundesrecht verletzte, indem sie den das Erlassgesuch abweisenden Einspracheentscheid vom 28. Oktober 2022 aufhob, die grosse Härte als erste Erlassvoraussetzung bejahte und die Sache an die Beschwerdeführerin zurückwies, damit sie den guten Glauben als zweite Erlassvoraussetzung prüfe.</w:t>
      </w:r>
    </w:p>
    <w:p>
      <w:r>
        <w:rPr>
          <w:b/>
        </w:rPr>
        <w:t>E. 4.1</w:t>
      </w:r>
    </w:p>
    <w:p>
      <w:r>
        <w:t>Die Bestimmungen des ATSG sind auf die Entschädigungen gemäss der Covid-19-Verordnung Erwerbsausfall anwendbar, soweit die Bestimmungen der Verordnung nicht ausdrücklich eine Abweichung vom ATSG vorsehen (Art. 1 der vorliegend anwendbaren, vom 17. März 2020 bis 31. Dezember 2022 gültig gewesenen Verordnung vom 20. März 2020 über Massnahmen bei Erwerbsausfall im Zusammenhang mit dem Coronavirus [Covid-19; Covid-19-Verordnung Erwerbsausfall; AS 2020 871] in Verbindung mit Art. 15 Abs. 5 des Bundesgesetzes vom 25. September 2020 über die gesetzlichen Grundlagen für Verordnungen des Bundesrates zur Bewältigung der BGE 150 V 57 S. 60 Covid-19-Epidemie [Covid-19-Gesetz; SR 818.102], hier anwendbare, am 17. September 2020 in Kraft getretene [Art. 21 Abs. 3 Covid-19-Gesetz] und inzwischen aufgehobene Bestimmung).</w:t>
      </w:r>
    </w:p>
    <w:p>
      <w:r>
        <w:rPr>
          <w:b/>
        </w:rPr>
        <w:t>E. 4.2</w:t>
      </w:r>
    </w:p>
    <w:p>
      <w:r>
        <w:t>Gemäss Art. 25 Abs. 1 ATSG sind unrechtmässig bezogene Leistungen zurückzuerstatten (Satz 1). Wer Leistungen in gutem Glauben empfangen hat, muss sie nicht zurückerstatten, wenn eine grosse Härte vorliegt (Satz 2). Rechtsprechungsgemäss steht die Erlassmöglichkeit nicht nur natürlichen, sondern auch juristischen Personen offen ( BGE 122 V 270 E. 4; Urteil des Eidg. Versicherungsgerichts [EVG] I 553/01 vom 28. Juni 2002 E. 2b, in: AHI 2003 S. 159).</w:t>
      </w:r>
    </w:p>
    <w:p>
      <w:r>
        <w:rPr>
          <w:b/>
        </w:rPr>
        <w:t>E. 4.3</w:t>
      </w:r>
    </w:p>
    <w:p>
      <w:r>
        <w:t>Massgebend für die Beurteilung, ob eine grosse Härte vorliegt, ist der Zeitpunkt, in welchem über die Rückforderung rechtskräftig entschieden ist ( Art. 4 Abs. 2 ATSV [SR 830.11]). Eine grosse Härte im Sinne von Art. 25 Abs. 1 ATSG liegt vor, wenn die vom Bundesgesetz vom 6. Oktober 2006 über Ergänzungsleistungen zur Alters-, Hinterlassenen- und Invalidenversicherung (ELG; SR 831.30) anerkannten Ausgaben und die zusätzlichen Ausgaben nach Abs. 4 die nach ELG anrechenbaren Einnahmen übersteigen ( Art. 5 Abs. 1 ATSV ). Es fehlt eine Regelung, wie die grosse Härte bei juristischen Personen zu beurteilen ist (was bereits unter der vor Inkrafttreten der ATSV geltenden Rechtslage der Fall war [ Art. 79 Abs. 1bis AHVV in Kraft bis Ende 2002; AS 1997 2950]; vgl. auch AHI 2003 S. 159, I 553/01 E. 4a).</w:t>
      </w:r>
    </w:p>
    <w:p>
      <w:r>
        <w:rPr>
          <w:b/>
        </w:rPr>
        <w:t>E. 5.1</w:t>
      </w:r>
    </w:p>
    <w:p>
      <w:r>
        <w:t>Die Vorinstanz erwog, wenn die Ausgleichskasse bei juristischen Personen für die Bejahung der grossen Härte in analoger Anwendung von Art. 40 AHVV (SR 831.101) eine eingetretene oder unmittelbar drohende Überschuldung verlange (wobei sie den Covid-19-Kredit als Eigen- und nicht als Fremdkapital berücksichtige), trage sie dem Umstand nicht Rechnung, dass sich diese Norm auf den Erlass der Nachforderung von Beiträgen beziehe und es hier um unrechtmässig bezogene Leistungen gehe. Der Corona-Erwerbsersatz sei eine der Kurzarbeitsentschädigung nachgebildete Leistung insbesondere für arbeitgeberähnliche Personen, welche grundsätzlich keine arbeitslosenversicherungsrechtlichen Leistungen beanspruchen könnten. Aus diesem Grund rechtfertige es sich, an den Erlass der Rückerstattung von Corona-Erwerbsersatz keine strengeren Anforderungen zu stellen als bei Kurzarbeitsentschädigungen. In diesem Bereich sei gemäss den Weisungen des Staatssekretariats für BGE 150 V 57 S. 61 Wirtschaft (SECO) auf die durchschnittlichen Reingewinne (Positiv-Saldo der Gewinn- und Verlustrechnung/Betriebsrechnung) der letzten drei Jahre abzustellen. Dabei werde das Vorliegen einer grossen Härte bereits dann bejaht, wenn die Rückforderungssumme 20 % des durchschnittlichen Reingewinns von drei Jahren übersteige (AVIG-Praxis RVEI [Rückforderung, Verrechnung, Erlass und Inkasso] Rz. C7). Aufgrund der in den Erfolgsrechnungen der A. GmbH inden letzten vier Jahren ausgewiesenen Verluste (31. Dezember 2019: -Fr. 3'530.42; 31. Dezember 2020: -Fr. 33'214.59; 31. Dezember 2022: -Fr. 15'346.90) und des kaum nennenswerten Gewinns (31. Dezember 2021: Fr. 1'545.05) würde eine Rückerstattung der unrechtmässig bezogenen Entschädigung im Betrag von Fr. 21'981.70 die A. GmbH offensichtlich in grosse finanzielle Schwierigkeiten bringen. Entgegen der Ausgleichskasse sei die für den Erlass erforderliche Voraussetzung der grossen Härte damit erfüllt.</w:t>
      </w:r>
    </w:p>
    <w:p>
      <w:r>
        <w:rPr>
          <w:b/>
        </w:rPr>
        <w:t>E. 5.2</w:t>
      </w:r>
    </w:p>
    <w:p>
      <w:r>
        <w:t>Die Ausgleichskasse wendet ein, die Vorinstanz habe die anwendbaren Rechtsgrundsätze unzutreffend hergeleitet, denn der Corona-Erwerbsersatz sei nicht der Kurzarbeitsentschädigung, sondern den allgemeinen EO-Leistungen nachgebildet.</w:t>
      </w:r>
    </w:p>
    <w:p>
      <w:r>
        <w:rPr>
          <w:b/>
        </w:rPr>
        <w:t>E. 5.2.1</w:t>
      </w:r>
    </w:p>
    <w:p>
      <w:r>
        <w:t>Aus dem Umstand, dass der Corona-Erwerbsersatz unter anderem den arbeitgeberähnlichen Personen zukommen kann, welche keinen Anspruch auf Leistungen der Arbeitslosenversicherung haben, lässt sich entgegen der Vorinstanz nicht ableiten, dass für die Frage des Erlasses der Rückerstattung die Bestimmungen der Arbeitslosenversicherung analoge Anwendung finden. Näher als diesem Gebiet ist der Corona-Erwerbsersatz dem Bereich der Erwerbsersatzordnung. So wurde in der Botschaft vom 12. August 2020 zum Bundesgesetz über die gesetzlichen Grundlagen für Verordnungen des Bundesrates zur Bewältigung der Covid-19-Epidemie (Covid-19-Gesetz) festgehalten, dass sich die Leistungen im Zusammenhang mit dem Erwerbsausfall in Bezug auf die Umsetzung und das Verfahren an das System beim Erwerbsersatz gemäss dem Erwerbsersatzgesetz vom 25. September 1952 (EOG; SR 834.1) anlehnen (BBl 2020 6563 ff., 6612). Aus diesem Grund finden die Bestimmungen aus dem EO-Bereich auf den Corona-Erwerbsersatz in verschiedenen Fragen und so grundsätzlich auch hier (vgl. E. 5.2.2) analoge Anwendung.</w:t>
      </w:r>
    </w:p>
    <w:p>
      <w:r>
        <w:rPr>
          <w:b/>
        </w:rPr>
        <w:t>E. 5.2.2</w:t>
      </w:r>
    </w:p>
    <w:p>
      <w:r>
        <w:t>Gemäss Rz. 1077 des Kreisschreibens des BSV über die Entschädigung bei Massnahmen zur Bekämpfung des Coronavirus - BGE 150 V 57 S. 62 Corona-Erwerbsersatz (KS CE; gültig ab 17. September 2020) gelten in Bezug auf Abtretung, Verpfändbarkeit, Rückerstattung, Erlass und Abschreibung die Rz. 7001-7017 der Wegleitung des BSV zur Erwerbsersatzordnung (WEO) sinngemäss. Die sich mit dem Erlass befassende Rz. 7016 WEO verweist auf Rz. 10701-10722 der Wegleitung des BSV über die Renten (RWL) in der Eidgenössischen Alters-, Hinterlassenen- und Invalidenversicherung. Der grossen Härte widmen sich Rz. 10712 ff. RWL. Allerdings geben auch diese Verwaltungsweisungen (zu deren Bedeutung allgemein: BGE 148 V 385 E. 5.2; BGE 145 V 84 E. 6.1.1; BGE 142 V 442 E. 5.2) auf die sich vorliegend stellende Frage keine Antwort.</w:t>
      </w:r>
    </w:p>
    <w:p>
      <w:r>
        <w:rPr>
          <w:b/>
        </w:rPr>
        <w:t>E. 5.3</w:t>
      </w:r>
    </w:p>
    <w:p>
      <w:r>
        <w:t>Wie bereits in ihrem Einspracheentscheid vertritt die Kasse die Auffassung, für die Beurteilung der grossen Härte sei die zu Art. 40 AHVV ergangene Rechtsprechung analogieweise beizuziehen. Gemäss BGE 113 V 248 setze die grosse Härte bei juristischen Personen eine bestehende oder unmittelbar drohende Überschuldung voraus, wobei eine solche vorliege, wenn die Forderungen der Gesellschaftsgläubiger durch die Aktiven nicht mehr gedeckt seien. Dabei sei ein strenger Massstab anzulegen und der Erlass nur restriktiv zu gewähren ( BGE 113 V 248 E. 3b).</w:t>
      </w:r>
    </w:p>
    <w:p>
      <w:r>
        <w:rPr>
          <w:b/>
        </w:rPr>
        <w:t>E. 5.3.1</w:t>
      </w:r>
    </w:p>
    <w:p>
      <w:r>
        <w:t>Die Vorinstanz folgte der sich an BGE 113 V 248 orientierenden Betrachtungsweise der Ausgleichskasse nicht, dies unter Hinweis darauf, dass es hier nicht um den Erlass der Nachzahlung von Beiträgen, sondern um den Erlass der Rückerstattung von Leistungen gehe, in welchem Bereich sich gemäss dem Urteil I 553/01 vom 28. Juni 2002 (in: AHI 2003 S. 159) ein milderer Massstab rechtfertige.</w:t>
      </w:r>
    </w:p>
    <w:p>
      <w:r>
        <w:rPr>
          <w:b/>
        </w:rPr>
        <w:t>E. 5.3.2</w:t>
      </w:r>
    </w:p>
    <w:p>
      <w:r>
        <w:t>Dem Urteil I 553/01 vom 28. Juni 2002, auf welches sich die Vorinstanz beruft, lag folgender Sachverhalt zugrunde: Eine Arbeitgeberin hatte ihrem Arbeitnehmer trotz verminderter Arbeitsfähigkeit den vollen Lohn (nach ihren Angaben Fr. 45'000.-) ausgerichtet. Im Gegenzug liess sie sich von der Ausgleichskasse die dem Arbeitnehmer später von der IV-Stelle rückwirkend zugesprochene Invalidenrente (im Betrag von Fr. 27'976.-) auszahlen. Als sich im Nachhinein herausstellte, dass die Drittauszahlung zu Unrecht erfolgt war, forderte die IV-Stelle die Arbeitgeberin zur Rückerstattung der Rentenbetreffnisse auf, wozu sich diese - aus der zu Unrecht erfolgten Zahlung lagen keine Mittel mehr vor - nicht in der Lage sah. Das Eidg. Versicherungsgericht erwog, es beständen BGE 150 V 57 S. 63 durchaus Gründe, für die Beurteilung der wirtschaftlichen Lage einer Aktiengesellschaft betreffend den Beitragserlass einen strengeren Massstab anzuwenden als betreffend den Erlass der Rückerstattung von Leistungen. So sei der Erlass der Nachzahlung nur restriktiv zu gewähren, weil er eine Ausnahme vom Grundprinzip der Beitragsordnung darstelle, welche, ohne Rücksicht auf die finanzielle Leistungsfähigkeit, auf der Erhebung von Lohnprozenten beruhe. Demgegenüber rechtfertige es sich, beim Erlass der Rückerstattung von Leistungen vermehrt den besonderen Umständen des Einzelfalles Rechnung zu tragen und eine grosse Härte ausnahmsweise auch dann zu bejahen, wenn noch keine Überschuldung bestehe oder unmittelbar drohe, die Rückerstattung die Gesellschaft aber in ernste finanzielle Schwierigkeiten bringen würde (E. 4a). Besondere, einen milderen Massstab rechtfertigende Umstände wurden im damals zu beurteilenden Sachverhalt darin erblickt, dass sich die Arbeitgeberin durch den Bezug der zu Unrecht an sie ausbezahlten Leistungen nicht bereichert, sondern dem Versicherten entsprechende Vorschussleistungen erbracht hatte. Weiter wurde berücksichtigt, dass aus den zu Unrecht erfolgten Zahlungen auch keine Mittel mehr vorlagen, aus welchen die Rückerstattung hätte erfolgen können. Unter diesen besonderen Gegebenheiten liess das Gericht für die Erlassvoraussetzung der grossen Härte genügen, dass die Rückerstattung die Gesellschaft in ernsthafte finanzielle Schwierigkeiten gebracht hätte, denn die Rückforderungssumme betrug rund 41 % des durchschnittlichen Gewinns der vergangenen drei Jahre bzw. 72 % des durchschnittlichen Gewinns der vergangenen fünf Jahre (E. 4b).</w:t>
      </w:r>
    </w:p>
    <w:p>
      <w:r>
        <w:rPr>
          <w:b/>
        </w:rPr>
        <w:t>E. 5.3.3</w:t>
      </w:r>
    </w:p>
    <w:p>
      <w:r>
        <w:t>Soweit die Vorinstanz den milderen Massstab nun allerdings bereits deshalb für anwendbar hält, weil es um die Rückerstattung von Leistungen geht, hält sie sich nicht an das im Urteil I 553/01 vom 28. Juni 2002 Entschiedene. Wie sich aus den diesbezüglichen, in E. 5.3.2 hiervor wiedergegebenen Urteilserwägungen (insbesondere E. 4a) ergibt, setzt der mildere Massstab voraus, dass im konkret zu beurteilenden Fall besondere Umstände vorliegen, welche weniger strenge Anforderungen als gerechtfertigt erscheinen lassen. Die mithin entscheidende Frage, ob auch der hier vorliegende Sachverhalt in diesem Sinne speziell gelagert ist, wurde im angefochtenen Urteil nicht geprüft. Während die Beschwerdegegnerin behauptet, es lägen analoge Verhältnisse vor, stellt die Beschwerdeführerin entsprechende Besonderheiten in Abrede. BGE 150 V 57 S. 64</w:t>
      </w:r>
    </w:p>
    <w:p>
      <w:r>
        <w:rPr>
          <w:b/>
        </w:rPr>
        <w:t>E. 5.3.4</w:t>
      </w:r>
    </w:p>
    <w:p>
      <w:r>
        <w:t>Im Unterschied zum Urteil I 553/01 vom 28. Juni 2002, wo die zur Rückerstattung verpflichtete Arbeitgeberin ihrem Arbeitnehmer kulanterweise Vorschussleistungen erbracht hatte, aus welchen ihr keinerlei Vorteile erwuchsen, stehen hier Zahlungen zur Diskussion, welche die A. GmbH für ihre Inhaber bzw. ihre Arbeitnehmenden in arbeitgeberähnlicher Stellung (B. und C.) erhalten hatte, womit der für sie daraus resultierende Vorteil offensichtlich ist. Der hier zu beurteilende Sachverhalt weist insofern keine Parallelen zu dem am 28. Juni 2002 beurteilten auf. Auch anderweitig sind keine speziellen Umstände ersichtlich, welche ausnahmsweise für eine mildere Betrachtung sprechen könnten. Damit gilt für die Beurteilung der grossen Härte der (grundsätzlich anwendbare) strenge Massstab. Mit anderen Worten kann die entsprechende Erlassvoraussetzung nur bejaht werden, wenn eine Überschuldung eingetreten ist oder unmittelbar droht. Eine solche liegt bei einer GmbH gemäss Art. 725 in Verbindung mit Art. 820 OR (je in der hier anwendbaren, bis 31. Dezember 2022 in Kraft gewesenen Fassung) vor, wenn durch Kapitalverluste das gesamte Eigenkapital und sogar ein Teil des Fremdkapitals nicht mehr gedeckt sind, weder zu Fortführungs- noch zu Liquidationswerten.</w:t>
      </w:r>
    </w:p>
    <w:p>
      <w:r>
        <w:rPr>
          <w:b/>
        </w:rPr>
        <w:t>E. 5.4</w:t>
      </w:r>
    </w:p>
    <w:p>
      <w:r>
        <w:t>Entsprechend dem Grundsatz, dass für die Beurteilung, ob eine grosse Härte vorliegt, der Zeitpunkt massgebend ist, in welchem über die Rückforderung rechtskräftig entschieden wurde ( Art. 4 Abs. 2 ATSV ), sind hier die finanziellen Verhältnisse im März 2022 relevant, denn die gegen die Rückforderungsverfügungen erhobene Einsprache wurde am 7. März 2022 zurückgezogen. Es steht fest und ist unter den Parteien unbestritten, dass sich die wirtschaftliche Lage der A. GmbH am 31. März 2022 wie folgt präsentierte: Stammkapital von Fr. 20'000.-, Verlustvortrag von -Fr. 21'585.28 und Jahresverlust von -Fr. 11'307.57. Weiterungen zu diesen Faktoren erübrigen sich.</w:t>
      </w:r>
    </w:p>
    <w:p>
      <w:r>
        <w:rPr>
          <w:b/>
        </w:rPr>
        <w:t>E. 5.4.1</w:t>
      </w:r>
    </w:p>
    <w:p>
      <w:r>
        <w:t>Die Parteien sind sich demgegenüber uneinig, ob der Covid-Kredit von Fr. 52'000.- als Eigen- oder als Fremdkapital zu berücksichtigen ist (welche Frage die Vorinstanz bei dem von ihr eingeschlagenen Lösungsweg offenlassen konnte). Während die Beschwerdegegnerin den Kredit, allgemeinen Regeln folgend, als Fremdkapital betrachtet, macht die Beschwerdeführerin gestützt auf Art. 24 des Bundesgesetzes vom 18. Dezember 2020 über Kredite mit Solidarbürgschaft infolge des Coronavirus (Covid-19-Solidarbürgschaftsgesetz, Covid-19-SBüG; SR 951.26) Eigenkapital geltend. BGE 150 V 57 S. 65</w:t>
      </w:r>
    </w:p>
    <w:p>
      <w:r>
        <w:rPr>
          <w:b/>
        </w:rPr>
        <w:t>E. 5.4.2</w:t>
      </w:r>
    </w:p>
    <w:p>
      <w:r>
        <w:t>Nach Art. 24 Abs. 1 Covid-19-SBüG in der hier anwendbaren, bis 31. Dezember 2022 in Kraft gewesenen Fassung werden für die Berechnung der Deckung von Kapital und Reserven nach Art. 725 Abs. 1 OR und für die Berechnung einer Überschuldung nach Art. 725 Abs. 2 OR (je ebenfalls in der bis 31. Dezember 2022 in Kraft gewesenen Fassung) Kredite, die gestützt auf Art. 3 Covid-19-SBüV (AS 2020 1077; Kredite bis Fr. 500'000.-) verbürgt werden, nicht als Fremdkapital berücksichtigt. Gemäss Abs. 2 derselben Bestimmung gilt dies sinngemäss für alle Rechtsformen, die einer entsprechenden Anzeigepflicht unterstehen, mithin auch für die GmbH ( Art. 820 OR in der bis 31. Dezember 2022 gültig gewesenen Fassung).</w:t>
      </w:r>
    </w:p>
    <w:p>
      <w:r>
        <w:rPr>
          <w:b/>
        </w:rPr>
        <w:t>E. 5.4.3</w:t>
      </w:r>
    </w:p>
    <w:p>
      <w:r>
        <w:t>In der Botschaft vom 18. September 2020 zum Bundesgesetz über Kredite mit Solidarbürgschaft infolge des Coronavirus (BBl 2020 8477 ff.) wird ausgeführt, dass für die Berechnung der Deckung von Kapital und Reserven bzw. einer Überschuldung ( Art. 725 Abs. 1 und 2 OR ) die gestützt auf Art. 3 Covid-19-SBüV vergebenen, zu 100 Prozent verbürgten Covid-19-Kredite bis Fr. 500'000.- nicht als Fremdkapital berücksichtigt würden. Gemäss Rechnungslegung blieben sie aber Fremdkapital und auch im Fall eines Konkurses seien sie als solches zu berücksichtigen (S. 8525). Der Bundesrat stellte damit klar, dass auch für diese Covid-Kredite in anderen Bereichen als dem hier spezialgesetzlich geregelten Sachverhalt der allgemeine Grundsatz gilt, wonach Kredite (handelsrechtlich) Fremdkapital darstellen. Mit der in Art. 24 Covid-19-SBüG formulierten Ausnahme wurde bezweckt, zu verhindern, dass bei Kreditnehmern gerade wegen des ihnen gewährten Covid-Kredites eine der in Art. 725 OR beschriebenen Situationen (Kapitalverlust, Überschuldung) eintritt, in welcher sie gesetzlich verpflichtet sind, Massnahmen zu treffen, so insbesondere das Gericht zu benachrichtigen (vgl. dazu auch Botschaft, a.a.O., 8525). Ohne diese Spezialregelung hätte die Gefahr bestanden, dass die mit den Covid-Krediten beabsichtigte Entlastung der Unternehmen in einem pandemiebedingt schwierigen wirtschaftlichen Umfeld ins Gegenteil verkehrt worden wäre. In den parlamentarischen Beratungen wurde denn auch betont, dass die Covid-Kredite zum Ziel hätten, die Liquidität der Unternehmen zu sichern, und mit deren Qualifikation als Eigenkapital vermieden werden könne, dass die Unternehmen durch die Covid-Kredite in eine Situation der Überschuldung oder des Konkurses geraten würden (vgl. Voten Schmid, AB 2020 S 1173 f., und Levrat, BGE 150 V 57 S. 66 AB 2020 S 1174 f.; vgl. auch Voten Zanetti, AB 2020 S 252 f., und Widmer, AB 2020 N 505 f., zur Motion [20.3156] "Solidarbürgschaftskredite für die gesamte Dauer der Solidarbürgschaft nicht als Fremdkapital berücksichtigen"). Auch wenn die Bestimmung des Art. 24 Abs. 1 Covid-19-SBüG sehr allgemein formuliert ist, zielt sie mithin allein darauf ab, die Unternehmen im Fall von Kapitalverlust oder Überschuldung von der Anzeigepflicht nach Art. 725 OR zu befreien. Mit anderen Worten war es nicht die Absicht des Gesetzgebers, Covid-Krediten generell den Charakter von Fremdkapital abzusprechen. Dass die Covid-Kredite bei der Fragestellung, ob nach Art. 725 OR vorzugehen ist, als Eigenkapital gelten, ändert nämlich nichts daran, dass sie als Fremdkapital die Gesellschaft belasten und gemäss Art. 3 Abs. 2 Covid-19-SBüG innerhalb von acht Jahren vollständig amortisiert werden müssen (wobei diese Frist gemäss Art. 3 Abs. 3 Covid-19-SBüG verlängert werden kann, wenn die fristgerechte Amortisation eine erhebliche Härte bedeuten würde). In diesem Sinne macht es für die wirtschaftlichen Verhältnisse einer Gesellschaft keinen wesentlichen Unterschied, ob sie einen Covid- oder einen anderen Kredit aufgenommen hat. Würde man die Covid-Kredite auch in anderen Situationen, in denen die finanzielle Lage einer Gesellschaft zu beurteilen ist, d.h. ausserhalb des Anwendungsbereichs von Art. 24 Covid-19-SBüG , als Eigenkapital qualifizieren, würde die mit dieser Norm beabsichtigte Wohltat ihres Sinnes entleert. Aus diesem Grund sind auch im Rahmen des hier zur Diskussion stehenden Erlasses der Rückerstattung von Corona-Erwerbsersatz bei der Prüfung der Frage, ob eine Überschuldung besteht oder unmittelbar droht, Covid-19-Kredite - wie alle anderen Kredite, ungeachtet der Bestimmung von Art. 24 Covid-19-SBüG - als Fremdkapital zu berücksichtigen.</w:t>
      </w:r>
    </w:p>
    <w:p>
      <w:r>
        <w:rPr>
          <w:b/>
        </w:rPr>
        <w:t>E. 5.4.4</w:t>
      </w:r>
    </w:p>
    <w:p>
      <w:r>
        <w:t>Die Berechnung der Beschwerdeführerin, in welcher der Covid-19-Kredit von Fr. 52'000.- als Eigenkapital figuriert (ermitteltes Eigenkapital von total Fr. 39'107.15), erweist sich nach dem in E. 5.4.3 Gesagten als bundesrechtswidrig. Bei entsprechender Korrektur, d.h. unter Berücksichtigung des Covid-19-Kredites als Fremdkapital, belief sich das Eigenkapital der Beschwerdegegnerin am 31. März 2022 auf -Fr. 12'892.85 (Fr. 20'000.- - Fr. 21'585.28 - Fr. 11'307.57), womit eine Überschuldung vorlag. Bei dieser Sachlage ist die grosse Härte (als erste Voraussetzung für den Erlass der Rückerstattungsschuld) zu bejahen. BGE 150 V 57 S. 67</w:t>
      </w:r>
    </w:p>
    <w:p>
      <w:r>
        <w:rPr>
          <w:b/>
        </w:rPr>
        <w:t>E. 5.5</w:t>
      </w:r>
    </w:p>
    <w:p>
      <w:r>
        <w:t>Zusammenfassend ergibt sich, dass das vorinstanzliche Urteil, in welchem die Erlassvoraussetzung der grossen Härte bejaht und die Sache zur Prüfung des guten Glaubens an die Beschwerdeführerin zurückgewiesen wurde, im Ergebnis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