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161</w:t>
      </w:r>
    </w:p>
    <w:p>
      <w:r>
        <w:t>Bundesgericht (BGE), 2024-03-21, FR</w:t>
      </w:r>
    </w:p>
    <w:p>
      <w:r>
        <w:rPr>
          <w:b/>
        </w:rPr>
        <w:t xml:space="preserve">Quelle: </w:t>
      </w:r>
      <w:r>
        <w:t>https://mcp.opencaselaw.ch/entscheid/bge_BGE_150_IV_161</w:t>
      </w:r>
    </w:p>
    <w:p>
      <w:r>
        <w:t>FR: ATF 150 IV 161</w:t>
      </w:r>
    </w:p>
    <w:p>
      <w:r>
        <w:t>IT: DTF 150 IV 161</w:t>
      </w:r>
    </w:p>
    <w:p>
      <w:pPr>
        <w:pStyle w:val="Heading2"/>
      </w:pPr>
      <w:r>
        <w:t>Regeste</w:t>
      </w:r>
    </w:p>
    <w:p>
      <w:r>
        <w:t>Regeste Art. 49 Abs. 1, Art. 82 Abs. 1 und Art. 123 Abs. 1 BV; Art. 335 Abs. 1 StGB; Art. 42 Abs. 1, Art. 90 Abs. 1 und Art. 106 Abs. 3 SVG; Gemeindereglement; Verletzung von Strassenverkehrsregeln; Vorrang des Bundesrechts. Die Kantone können ergänzende Vorschriften über den Strassenverkehr auf dem Weg der Gesetzgebung über das Übertretungsstrafrecht nur erlassen, soweit sich diese Vorschriften nicht auf Motorfahrzeuge und Fahrräder sowie Eisenbahnfahrzeuge beziehen, welche durch das Bundesrecht abschliessend geregelt werden. Das Verursachen vermeidbaren Lärms beim Führen eines Motorfahrzeugs wird nach Art. 90 Abs. 1 i.V.m. Art. 42 Abs. 1 SVG mit Busse sanktioniert. Eine Bestimmung in einem Gemeindereglement, die das gleiche Ziel verfolgt und ein solches Verhalten ebenfalls unter Strafe stellt, verstösst gegen Art. 106 Abs. 3 SVG und den Vorrang des Bundesrechts (E. 3).</w:t>
      </w:r>
    </w:p>
    <w:p>
      <w:r>
        <w:t>Regeste Art. 49 al. 1, art. 82 al. 1 et art. 123 al. 1 Cst.; art. 335 al. 1 CP; art. 42 al. 1, art. 90 al. 1 et art. 106 al. 3 LCR; règlement communal; violation des règles de la circulation routière; primauté du droit fédéral. Les cantons ne peuvent édicter des prescriptions complémentaires instituant des contraventions de droit cantonal dans le domaine de la circulation routière que pour autant qu'elles ne concernent pas les véhicules automobiles et les cycles, les tramways et chemins de fer routiers, celles-ci étant réglées de manière exhaustive par le droit fédéral. Le bruit excessif causé par la conduite d'un véhicule à moteur est spécifiquement sanctionné par une amende en vertu des art. 90 al. 1 et 42 al. 1 LCR. Une disposition d'un règlement communal qui poursuit le même but en sanctionnant également ce comportement viole l'art. 106 al. 3 LCR ainsi que la primauté du droit fédéral (consid. 3).</w:t>
      </w:r>
    </w:p>
    <w:p>
      <w:r>
        <w:t>Regesto Art. 49 cpv. 1, art. 82 cpv. 1 e art. 123 cpv. 1 Cost.; art. 335 cpv. 1 CP; art. 42 cpv. 1, art. 90 cpv. 1 e art. 106 cpv. 3 LCStr; regolamento comunale; infrazione alle norme della circolazione stradale; preminenza del diritto federale. I Cantoni possono emanare prescrizioni completive con cui sono istituite contravvenzioni di diritto cantonale in materia di circolazione stradale solo in quanto non concernano i veicoli a motore, i velocipedi e i veicoli ferrotranviari, essendo essi disciplinati in modo esaustivo dal diritto federale. Il rumore eccessivo cagionato dalla guida di un veicolo a motore è specificatamente punito con una multa in virtù degli art. 90 cpv. 1 e 42 cpv. 1 LCStr. Una disposizione di un regolamento comunale che persegue lo stesso scopo, sanzionando parimenti questo comportamento, viola l'art. 106 cpv. 3 LCStr nonché la preminenza del diritto federale (consid. 3).</w:t>
      </w:r>
    </w:p>
    <w:p>
      <w:pPr>
        <w:pStyle w:val="Heading2"/>
      </w:pPr>
      <w:r>
        <w:t>Erwägungen</w:t>
      </w:r>
    </w:p>
    <w:p>
      <w:r>
        <w:rPr>
          <w:b/>
        </w:rPr>
        <w:t>E. 3</w:t>
      </w:r>
    </w:p>
    <w:p>
      <w:r>
        <w:t>Le recourant reproche aux différentes autorités d'avoir sanctionné son comportement sur la base de deux dispositions distinctes (de niveau fédéral et communal), soit, d'une part, les art. 42 al. 1 LCR , 33 let. b de l'ordonnance du 13 novembre 1962 sur les règles de la BGE 150 IV 161 S. 164 circulation routière (OCR; RS 741.11) et, d'autre part, l'art. 59 al. 1 du règlement général de police de la commune de U. (RGP), visant à réprimer un même comportement, soit le bruit excessif causé par la conduite d'un véhicule, et d'avoir ainsi violé le principe de la primauté du droit fédéral prévu par l' art. 49 Cst.</w:t>
      </w:r>
    </w:p>
    <w:p>
      <w:r>
        <w:rPr>
          <w:b/>
        </w:rPr>
        <w:t>E. 3.1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ATF 143 I 403 consid. 7.1, ATF 143 I 109 consid. 4.2.2; ATF 140 I 218 consid. 5.1; ATF 138 I 435 consid. 3.1).</w:t>
      </w:r>
    </w:p>
    <w:p>
      <w:r>
        <w:rPr>
          <w:b/>
        </w:rPr>
        <w:t>E. 3.2</w:t>
      </w:r>
    </w:p>
    <w:p>
      <w:r>
        <w:t>Selon l' art. 123 al. 1 Cst. , la législation en matière de droit pénal et de procédure pénale relève de la compétence de la Confédération. L' art. 335 al. 1 CP prévoit une réserve au sens propre à cette disposition constitutionnelle (arrêt 6B_1297/2017 du 26 juillet 2018 consid. 2.2.1) et énonce que les cantons conservent le pouvoir de légiférer sur les contraventions de police qui ne sont pas l'objet de la législation fédérale. Les cantons peuvent prévoir dans leur législation de punir d'une amende des contraventions ( art. 103 CP ), tant que le droit fédéral ne protège pas le bien juridique concerné par un ensemble complet de prescriptions ( ATF 138 IV 13 consid. 3.3.1; ATF 129 IV 276 consid. 2.1;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129 IV 276 consid. 2.1; ATF 116 IV 19 consid. 3; ATF 104 IV 288 consid. 3; ATF 89 IV 94 consid. 4a). BGE 150 IV 161 S. 165</w:t>
      </w:r>
    </w:p>
    <w:p>
      <w:r>
        <w:rPr>
          <w:b/>
        </w:rPr>
        <w:t>E. 3.3</w:t>
      </w:r>
    </w:p>
    <w:p>
      <w:r>
        <w:t>Selon l' art. 82 al. 1 Cst. , la Confédération légifère sur la circulation routière. Cet article donne une compétence globale et concurrente à la Confédération pour légiférer dans le domaine de la circulation routière (arrêt 2P.83/2005 du 26 janvier 2006 consid. 6.1; STEFAN VOGEL, in Die schweizerische Bundesverfassung, St. Galler Kommentar, 4 e éd. 2023, n° 3 ad art. 82 Cst. ; BEYELER/DIEBOLD, in Commentaire romand, Constitution fédérale, 2021, n° 22 ad art. 82 Cst. ; JEAN-FRANÇOIS AUBERT, in Petit commentaire de la Constitution fédérale de la Confédération suisse [...], Aubert/Mahon [éd.], 2003, n° 4 ad art. 82 Cst. ; Message du 20 novembre 1996 relatif à unenouvelle constitution fédérale, FF 1997 I 1, 263). Cette compétence est globale en ce sens qu'elle s'étend à toutes les matières pertinentes pour la circulation routière. Elle est concurrente par rapport au droit cantonal, qui garde sa place dans la mesure où la Confédération n'a pas légiféré de manière exhaustive dans un domaine déterminé (BEYELER/DIEBOLD, op. cit., n° 22 ad art. 82 Cst. ). La loi fédérale du 19 décembre 1958 sur la circulation routière (LCR), complétée par un grand nombre d'ordonnances, concrétise l'exercice de la compétence législative fondée sur l' art. 82 al. 1 Cst. (arrêt 2P.83/2005 du 26 janvier 2006 consid. 6.1; AUBERT, op. cit., n° 6 ad art. 82 Cst. ). Par tous ces actes, la Confédération a très largement fait usage de sa compétence législative en matière de circulation routière et a dans la même mesure évincé les compétences cantonales (BEYELER/DIEBOLD, op. cit., n° 17 ad art. 82 Cst. ). Cela étant, même dans les domaines où il existe une compétence fédérale et où celle-ci a été mise en oeuvre par la législation fédérale, les cantons peuvent se voir confier des tâches spécifiques, soit des compétences déléguées (MALINVERNI ET AL., Droit constitutionnel suisse, vol. I, 4 e éd. 2021, p. 400 n. 1090). Les délégations de compétences figurent dans les lois fédérales (MALINVERNI ET AL., op. cit., p. 401 n. 1091).</w:t>
      </w:r>
    </w:p>
    <w:p>
      <w:r>
        <w:rPr>
          <w:b/>
        </w:rPr>
        <w:t>E. 3.4</w:t>
      </w:r>
    </w:p>
    <w:p>
      <w:r>
        <w:t>En matière de bruit causé par un véhicule, l' art. 42 al. 1 LCR prévoit que le conducteur doit veiller à ne pas incommoder les usagers de la route et les riverains, notamment en provoquant du bruit, de la poussière, de la fumée ou des odeurs qu'il peut éviter; il devra veiller le plus possible à ne pas effrayer les animaux. La violation de cette disposition est sanctionnée par une amende en application de l' art 90 al. 1 LCR .</w:t>
      </w:r>
    </w:p>
    <w:p>
      <w:r>
        <w:rPr>
          <w:b/>
        </w:rPr>
        <w:t>E. 3.5</w:t>
      </w:r>
    </w:p>
    <w:p>
      <w:r>
        <w:t>En tant que lex specialis par rapport à l' art. 335 al. 1 CP , l' art. 106 al. 3 LCR prévoit que les cantons restent compétents pour édicter BGE 150 IV 161 S. 166 des prescriptions complémentaires sur la circulation routière, sauf en ce qui concerne les véhicules automobiles et les cycles, les tramways et chemins de fer routiers ATF 104 IV 288 consid. 3).</w:t>
      </w:r>
    </w:p>
    <w:p>
      <w:r>
        <w:rPr>
          <w:b/>
        </w:rPr>
        <w:t>E. 3.6</w:t>
      </w:r>
    </w:p>
    <w:p>
      <w:r>
        <w:t>Il découle de ce qui précède que les cantons ne peuvent édicter des prescriptions complémentaires instituant des contraventions de droit cantonal dans le domaine de la circulation routière pour autant qu'elles ne concernent pas les véhicules automobiles et les cycles, les tramways et chemins de fer routiers (cf. art. 106 al. 3 LCR ; ATF 104 IV 288 ), celles-ci étant réglées de manière exhaustive par le droit fédéral (cf. WALDMANN/KRAEMER, in Basler Kommentar, Strassenverkehrsgesetz, 2014, n° 13 ad art. 106 LCR ).</w:t>
      </w:r>
    </w:p>
    <w:p>
      <w:r>
        <w:rPr>
          <w:b/>
        </w:rPr>
        <w:t>E. 3.7</w:t>
      </w:r>
    </w:p>
    <w:p>
      <w:r>
        <w:t>L'art. 59 al. 1 du règlement général de police de la commune de U. (RGP), adopté par le conseil communal, dispose que tout acte sur le domaine public de nature à porter atteinte à l'ordre, à la tranquillité, à la sécurité et au repos publics est interdit. Sont notamment compris dans cette interdiction: les querelles, les bagarres, les chants bruyants, les cris, les attroupements tumultueux ou gênant la circulation ou les usagers, les pétards, les coups de feu, les jeux bruyants ou tous autres bruits excessifs, tels ceux produits par une conduite de véhicule motorisé inappropriée et dérangeante. L'art. 12 de ce même règlement prévoit que toute infraction aux dispositions du présent règlement est passible d'une amende dans les limites fixées par la loi cantonale sur les contraventions.</w:t>
      </w:r>
    </w:p>
    <w:p>
      <w:r>
        <w:rPr>
          <w:b/>
        </w:rPr>
        <w:t>E. 3.8</w:t>
      </w:r>
    </w:p>
    <w:p>
      <w:r>
        <w:t>Au vu de ce qui précède, le bruit excessif causé par la conduite d'un véhicule à moteur est spécifiquement sanctionné par une amende en vertu des art. 90 al. 1 et 42 al. 1 LCR. L'art. 59 al. 1 RGP dernière phrase poursuit le même but en sanctionnant également ce comportement. Ainsi, la limite de compétence n'apparaît pas être respectée et l'art. 59 al. 1 dernière phrase RGP qui sanctionne les bruits excessifs produits par la conduite d'un véhicule motorisé inappropriée et dérangeante viole l' art. 106 al. 3 LCR ainsi que la primauté du droit fédéral.</w:t>
      </w:r>
    </w:p>
    <w:p>
      <w:r>
        <w:rPr>
          <w:b/>
        </w:rPr>
        <w:t>E. 3.9</w:t>
      </w:r>
    </w:p>
    <w:p>
      <w:r>
        <w:t>En définitive, l'amende fixée sur la base de l'art. 59 al. 1 RGP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