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114</w:t>
      </w:r>
    </w:p>
    <w:p>
      <w:r>
        <w:t>Bundesgericht (BGE), 2023-12-18, DE</w:t>
      </w:r>
    </w:p>
    <w:p>
      <w:r>
        <w:rPr>
          <w:b/>
        </w:rPr>
        <w:t xml:space="preserve">Quelle: </w:t>
      </w:r>
      <w:r>
        <w:t>https://mcp.opencaselaw.ch/entscheid/bge_BGE_150_IV_114</w:t>
      </w:r>
    </w:p>
    <w:p>
      <w:r>
        <w:t>FR: ATF 150 IV 114</w:t>
      </w:r>
    </w:p>
    <w:p>
      <w:r>
        <w:t>IT: DTF 150 IV 114</w:t>
      </w:r>
    </w:p>
    <w:p>
      <w:pPr>
        <w:pStyle w:val="Heading2"/>
      </w:pPr>
      <w:r>
        <w:t>Regeste</w:t>
      </w:r>
    </w:p>
    <w:p>
      <w:r>
        <w:t>Regeste Art. 41 EMRK; Art. 415 StPO; Art. 122 und 128 BGG. Die Revision eines bundesgerichtlichen Urteils wegen Verletzung der EMRK setzt unter anderem voraus, dass eine Entschädigung nicht geeignet ist, die Folgen der Verletzung auszugleichen (Art. 122 lit. b BGG). Für die Revision eines bundesgerichtlichen Urteils besteht kein Anlass mehr, wenn der EGMR eine die Folgen der Konventionsverletzung ausgleichende Entschädigung nach Art. 41 EMRK gesprochen hat. Eine Revision bleibt nur insoweit möglich, als sie geeignet und erforderlich ist, um über die finanzielle Abgeltung hinaus fortbestehende, konkrete nachteilige Auswirkungen im Rahmen des ursprünglichen Verfahrens zu beseitigen. Es fehlt eine innerstaatliche Rechtsgrundlage für eine zusätzliche finanzielle Entschädigung für den zu Unrecht erlittenen Freiheitsentzug, nachdem der EGMR eine solche beurteilt und gesprochen hat (E. 2.4.2).</w:t>
      </w:r>
    </w:p>
    <w:p>
      <w:r>
        <w:t>Regeste Art. 41 CEDH; art. 415 CPP; art. 122 et 128 LTF. La révision d'un arrêt du Tribunal fédéral pour violation de la CEDH suppose notamment qu'une indemnité ne soit pas de nature à remédier aux effets de la violation (art. 122 let. b LTF). Il n'y a plus de raison de réviser un arrêt du Tribunal fédéral lorsque la CourEDH a accordé une réparation qui compense les conséquences de la violation de la Convention selon l'art. 41 CEDH. Une révision demeure possible dans la mesure où elle est appropriée et nécessaire pour éliminer, dans le cadre de la procédure initiale, les effets préjudiciables concrets qui subsistent en dépit de la compensation financière. Il manque une base légale nationale pour une compensation financière supplémentaire pour la privation de liberté subie à tort, après que la CourEDH a jugé et prononcé une telle compensation (consid. 2.4.2).</w:t>
      </w:r>
    </w:p>
    <w:p>
      <w:r>
        <w:t>Regesto Art. 41 CEDU; art. 415 CPP; art. 122 e 128 LTF. La revisione di una sentenza del Tribunale federale per violazione della CEDU presuppone, tra l'altro, che un'indennità non sia atta a compensare le conseguenze della violazione (art. 122 lett. b LTF). Non c'è più motivo di revisionare una sentenza del Tribunale federale se la CorteEDU ha concesso un risarcimento ai sensi dell'art. 41 CEDU che compensa le conseguenze della violazione della Convenzione. Una revisione rimane possibile nella misura in cui è idonea e necessaria a eliminare eventuali effetti pregiudizievoli concreti che sussistono nell'ambito del procedimento originario nonostante il compenso finanziario. Non esiste una base legale nazionale per un ulteriore risarcimento finanziario per la privazione della libertà ingiustamente subita, dopo che la CorteEDU ha valutato e concesso tale compenso (consid. 2.4.2).</w:t>
      </w:r>
    </w:p>
    <w:p>
      <w:pPr>
        <w:pStyle w:val="Heading2"/>
      </w:pPr>
      <w:r>
        <w:t>Erwägungen</w:t>
      </w:r>
    </w:p>
    <w:p>
      <w:r>
        <w:rPr>
          <w:b/>
        </w:rPr>
        <w:t>E. 2.1</w:t>
      </w:r>
    </w:p>
    <w:p>
      <w:r>
        <w:t>Der Beschwerdeführer rügt, die Vorinstanz verletze Bundesrecht. Das Urteil des Bundesgerichts vom 2. März 2022 im Revisionsverfahren 6F_5/2022 entfalte keine Bindungswirkung hinsichtlich der Frage, ob er zusätzlich zur vom Europäischen Gerichtshof für Menschenrechte (EGMR) zugesprochenen Entschädigung Anspruch auf Genugtuung habe. Die Vorinstanz verletze seinen Anspruch auf rechtliches Gehör, indem sie den Anspruch auf Ausrichtung einer Genugtuung materiell nicht prüfe bzw. auf sein Begehren nicht eintrete. Mit dem Entscheid des Bundesgerichts, im Revisionsverfahren könne nicht auf die Frage der Genugtuung zurückgekommen werden, sei noch nicht entschieden worden, wie diese Frage im wiederaufgenommenen Verfahren vor dem Obergericht zu beurteilen sei. Das Verfahren sei in jenem Stand an die Vorinstanz zurückgewiesen worden, in welchem es sich im Jahr 2014 befunden habe. Damals sei die Frage der Genugtuung für zu Unrecht erlittene Haft noch kein Thema gewesen. Hierfür könne das Urteil des Bundesgerichts vom 2. März 2022 im Verfahren 6F_5/2022 keine Bindungswirkung entfalten.</w:t>
      </w:r>
    </w:p>
    <w:p>
      <w:r>
        <w:rPr>
          <w:b/>
        </w:rPr>
        <w:t>E. 2.2</w:t>
      </w:r>
    </w:p>
    <w:p>
      <w:r>
        <w:t>Gemäss Art. 41 EMRK kann der EGMR der verletzten Partei eine gerechte Entschädigung zusprechen, wenn er eine Konventionsverletzung festgestellt hat und das innerstaatliche Recht nur eine unvollkommene Wiedergutmachung gestattet. BGE 150 IV 114 S. 118 Nach der Rechtsprechung des EGMR kann ein Vertragsstaat, wenn er es für richtig hält, zusätzlich zu der bereits nach Art. 41 EMRK durch den EGMR zugesprochenen Entschädigung eine weitere Entschädigung gewähren, entweder in Form von zusätzlichem Geld oder in einer anderen Form, z.B. der Milderung einer verhängten Strafe (Urteil des EGMR Baybasin gegen Niederlande vom 6. Juli 2006, Nr. 13600/02, § 76). Eine zusätzliche Entschädigung hängt damit vom innerstaatlichen Recht ab (vgl. dazu bereits Urteil 6F_5/2022 vom 2. März 2022 E. 2.3.3 mit Hinweisen).</w:t>
      </w:r>
    </w:p>
    <w:p>
      <w:r>
        <w:rPr>
          <w:b/>
        </w:rPr>
        <w:t>E. 2.3</w:t>
      </w:r>
    </w:p>
    <w:p>
      <w:r>
        <w:t>Die Auffassung des Beschwerdeführers, die Vorinstanz hätte die Genugtuungsforderung für den zu Unrecht erlittenen Freiheitsentzug im betragsmässig gleichen Spektrum (von mehreren Hunderttausend Schweizerfranken) inhaltlich beurteilen müssen, obwohl der EGMR bereits über die betreffende Forderung befunden und eine Entschädigung von Euro 40'000.- zugesprochen hat, findet im schweizerischen Recht keine Stütze. Dies ergibt sich aus den Bestimmungen über das im BGG geregelte Revisionsverfahren, welches im Nachgang einer durch den EGMR festgestellten Konventionsverletzung durchzuführen ist.</w:t>
      </w:r>
    </w:p>
    <w:p>
      <w:r>
        <w:rPr>
          <w:b/>
        </w:rPr>
        <w:t>E. 2.4.1</w:t>
      </w:r>
    </w:p>
    <w:p>
      <w:r>
        <w:t>Gemäss Art. 122 BGG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147 I 494 E. 2 mit Hinweisen). Gemäss Art. 128 Abs. 1 BGG hebt das Bundesgericht den früheren Entscheid auf und entscheidet neu, wenn es findet, dass der Revisionsgrund zutrifft. Entscheidet das Bundesgericht in einer Strafsache neu, ist Artikel 415 StPO sinngemäss anwendbar ( Art. 128 Abs. 3 BGG ). Nach Art. 415 Abs. 2 StPO werden der beschuldigten Person zu viel bezahlte Bussen oder Geldstrafen zurückerstattet, wenn sie freigesprochen, milder bestraft oder das Verfahren eingestellt wird; Ansprüche der beschuldigten Person auf Entschädigung oder Genugtuung richten sich nach Artikel 436 Absatz 4 StPO. Nach letzterer Bestimmung hat die nach einer Revision freigesprochene oder milder BGE 150 IV 114 S. 119 bestrafte beschuldigte Person Anspruch auf angemessene Entschädigung für ihre Aufwendungen im Revisionsverfahren. Sie hat zudem Anspruch auf Genugtuung und Entschädigung für ausgestandenen Freiheitsentzug, sofern dieser Freiheitsentzug nicht an die wegen anderer Straftaten ausgesprochenen Sanktionen angerechnet werden kann.</w:t>
      </w:r>
    </w:p>
    <w:p>
      <w:r>
        <w:rPr>
          <w:b/>
        </w:rPr>
        <w:t>E. 2.4.2</w:t>
      </w:r>
    </w:p>
    <w:p>
      <w:r>
        <w:t>Eine Revision wegen Verletzung der EMRK setzt nach Art. 122 lit. b BGG namentlich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 BGE 147 I 494 E. 2.2 mit Hinweisen). Die bundesgerichtliche Revision gestützt auf ein Urteil des EGMR dient mit anderen Worten ausschliesslich dazu, nicht-finanzielle Nachteile auszugleichen (vgl. Art. 122 lit. b BGG e contrario). Der angefochtene bundesgerichtliche Entscheid wird im Rahmen einer Revision nur soweit aufgehoben, als der Revisionsgrund gegeben ist und damit die Gutheissung des Gesuchs ein solches Vorgehen erfordert (vgl. ELISABETH ESCHER, in: Basler Kommentar, Bundesgerichtsgesetz, 3. Aufl. 2018, N. 1 zu Art. 128 BGG , welche auf die frühere Praxis unter der Geltung des OG in BGE 120 V 150 E. 3a verweist). Dies wirkt sich auf das nachfolgende kantonale Verfahren aus, welches gestützt auf das in Revision gezogene bundesgerichtliche Urteil durchgeführt werden muss. Das kantonale Verfahren wird nicht erneut auf nicht der Revision zugängliche finanzielle Aspekte hinaus ausgeweitet, über welche der EGMR bereits entschieden hat. Dies gilt, auch wenn die Wiederaufnahme des kantonalen Verfahrens bezüglich der wiederaufzunehmenden Punkte ex tunc wirkt und das Bundesgericht und die Verfahrensbeteiligten in jenen Zustand versetzt, in welchem sie sich vor der damaligen Urteilsfällung befunden hatten ( BGE 147 I 494 E. 1.2 in fine mit Hinweis). Die Wiederaufnahme im kantonalen Verfahren bewegt sich in den Grenzen des Streitgegenstandes, welcher vor Bundesgericht ein Thema war. BGE 150 IV 114 S. 120 Art. 415 StPO , auf welchen Art. 128 Abs. 3 BGG "sinngemäss" verweist, ist nur soweit anwendbar, als die darin thematisierten Folgen eines neuen Entscheids Verfahrensgegenstand des bundesgerichtlichen Revisionsverfahrens bilden. Betroffen sind ausschliesslich Ansprüche, über welche der EGMR nicht entschieden hat. Dies wurde dem Beschwerdeführer bereits im Verfahren 6F_5/2022 vom 2. März 2022 beschieden. Es fehlt an einer innerstaatlichen Rechtsgrundlage für eine zusätzliche finanzielle Entschädigung für den zu Unrecht erlittenen Freiheitsentzug, nachdem der EGMR eine solche beurteilt und zugesprochen hat. Insoweit ist die Vorinstanz in Nachachtung der Bindungswirkung eines bundesgerichtlichen Rückweisungsentscheids richtigerweise davon ausgegangen, die betreffende Entschädigung sei vor ihr kein Thema mehr. Das vorinstanzliche Nichteintreten auf die Entschädigungsforderung verletzt damit weder Bundesrecht noch den Anspruch auf rechtliches Gehör.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