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57</w:t>
      </w:r>
    </w:p>
    <w:p>
      <w:r>
        <w:t>Bundesgericht (BGE), 2023-08-03, DE</w:t>
      </w:r>
    </w:p>
    <w:p>
      <w:r>
        <w:rPr>
          <w:b/>
        </w:rPr>
        <w:t xml:space="preserve">Quelle: </w:t>
      </w:r>
      <w:r>
        <w:t>https://mcp.opencaselaw.ch/entscheid/bge_BGE_150_II_57</w:t>
      </w:r>
    </w:p>
    <w:p>
      <w:r>
        <w:t>FR: ATF 150 II 57</w:t>
      </w:r>
    </w:p>
    <w:p>
      <w:r>
        <w:t>IT: DTF 150 II 57</w:t>
      </w:r>
    </w:p>
    <w:p>
      <w:pPr>
        <w:pStyle w:val="Heading2"/>
      </w:pPr>
      <w:r>
        <w:t>Regeste</w:t>
      </w:r>
    </w:p>
    <w:p>
      <w:r>
        <w:t>Regeste Art. 28 Dublin-III-Verordnung; Art. 76a und 80a AIG; Art. 6 und 19 ZAG; Polizeigesetz des Kantons Thurgau; Zulässigkeit von Polizeigewahrsam gestützt auf kantonales Recht und das ZAG zwecks Sicherstellung einer Rückführung im Anwendungsbereich der Dublin-III-Verordnung. Gegenüberstellung der Rechtsgrundlagen der sog. Dublin-Haft (E. 3.1) und des Polizeigewahrsams, insbesondere im Rahmen der Zwangsanwendung im Bereich des Asyl- und Ausländerrechts (E. 3.2). Art. 28 Dublin-III-Verordnung und dessen Umsetzung in Art. 76a und Art. 80a AIG stellen im Anwendungsbereich der Dublin-III-Verordnung Minimalgarantien für die Inhaftierung von ausländischen Personen zwecks Sicherstellung von Überstellungsverfahren auf (E. 3.3.1-3.3.5). Für Polizeigewahrsam gestützt auf kantonales Recht in Verbindung mit dem ZAG bleibt kein Raum, wenn dieser die Schwelle eines Freiheitsentzugs (E. 3.3.6) erreicht und die Inhaftnahme einzig zum Zweck erfolgt, eine Rückführung im Dublin-Verfahren sicherzustellen (E. 3.3.7). Anwendung auf den konkreten Fall (E. 4).</w:t>
      </w:r>
    </w:p>
    <w:p>
      <w:r>
        <w:t>Regeste Art. 28 du règlement Dublin III; art. 76a et 80a LEI; art. 6 et 19 LUsC; loi sur la police du canton de Thurgovie; admissibilité de l'arrestation provisoire en vertu du droit cantonal et de la LUsC en vue de garantir un retour dans le cadre du champ d'application du règlement Dublin III. Comparaison des bases juridiques de la détention dite Dublin (consid. 3.1) et de l'arrestation provisoire, notamment dans le cadre de l'utilisation de la contrainte dans le domaine du droit d'asile et du droit des étrangers (consid. 3.2). L'art. 28 du règlement Dublin III et sa mise en oeuvre aux art. 76a et 80a LEI établissent, dans le champ d'application du règlement Dublin III, des garanties minimales pour la détention d'étrangers, en vue de garantir les procédures de transfert (consid. 3.3.1-3.3.5). Il n'y a pas de place pour une arrestation provisoire fondée sur le droit cantonal en relation avec la LUsC si celle-ci atteint le seuil d'une privation de liberté (consid. 3.3.6) et si la détention a lieu dans le seul but d'assurer un retour dans le cadre de la procédure Dublin (consid. 3.3.7). Application au cas d'espèce (consid. 4).</w:t>
      </w:r>
    </w:p>
    <w:p>
      <w:r>
        <w:t>Regesto Art. 28 del regolamento Dublino III; art. 76a e 80a LStrI; art. 6 e 19 LCoe; legge sulla polizia del Cantone Turgovia; ammissibilità di un arresto provvisorio sulla base del diritto cantonale e della LCoe al fine di garantire un trasferimento in applicazione del regolamento Dublino III. Confronto tra le basi legali relative alla cosiddetta carcerazione Dublino (consid. 3.1) e quelle relative all'arresto provvisorio, in particolare riguardo all'uso della coercizione nell'ambito del diritto d'asilo e del diritto degli stranieri (consid. 3.2). Nel campo di applicazione del regolamento Dublino III, l'art. 28 del regolamento Dublino III e la sua concretizzazione negli art. 76a et 80a LStrI stabiliscono delle garanzie minime per la detenzione di persone straniere messa in atto per assicurare lo svolgimento delle procedure di trasferimento (consid. 3.3.1-3.3.5). Non vi è spazio per un arresto provvisorio fondato sul diritto cantonale in relazione con la LCoe, se esso raggiunge la soglia di una privazione della libertà (consid. 3.3.6) e la carcerazione avviene con il solo scopo di assicurare un trasferimento nel quadro della procedura di Dublino (consid. 3.3.7). Applicazione al caso concreto (consid. 4).</w:t>
      </w:r>
    </w:p>
    <w:p>
      <w:pPr>
        <w:pStyle w:val="Heading2"/>
      </w:pPr>
      <w:r>
        <w:t>Erwägungen</w:t>
      </w:r>
    </w:p>
    <w:p>
      <w:r>
        <w:rPr>
          <w:b/>
        </w:rPr>
        <w:t>E. 3</w:t>
      </w:r>
    </w:p>
    <w:p>
      <w:r>
        <w:t>Bei der vorliegend zu beurteilenden Streitsache stellt sich insbesondere die Frage, ob die Bestimmungen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 vom 29. Juni 2013 S. 31 ff.; nachfolgend: Dublin-III-Verordnung) und deren Umsetzung in Art. 76a und Art. 80a AIG (SR 142. 20) die Inhaftnahme zur Sicherstellung des Wegweisungsvollzugs gestützt auf andere innerstaatliche Hafttitel ausschliessen, wie dies die Beschwerdeführerin geltend macht. Ist das der Fall, konnte gar kein polizeilicher Gewahrsam angeordnet werden, und wäre die Haftprüfung im vorliegenden Verfahren zu behandeln gewesen.</w:t>
      </w:r>
    </w:p>
    <w:p>
      <w:r>
        <w:rPr>
          <w:b/>
        </w:rPr>
        <w:t>E. 3.1</w:t>
      </w:r>
    </w:p>
    <w:p>
      <w:r>
        <w:t>Zu diesem Zweck sind vorab die im Rahmen der sog. Dublin-Haft anwendbaren Rechtsgrundlagen zu klären:</w:t>
      </w:r>
    </w:p>
    <w:p>
      <w:r>
        <w:rPr>
          <w:b/>
        </w:rPr>
        <w:t>E. 3.1.1</w:t>
      </w:r>
    </w:p>
    <w:p>
      <w:r>
        <w:t>Die Inhaftierung einer Person im Rahmen eines Dublin-Verfahrens ist erlaubt, wenn sie die Sicherstellung des Überstellungsverfahrens in den zuständigen Dublin-Staat bezweckt (vgl. Art. 28 Abs. 2 Dublin-III-Verordnung in Verbindung mit dem Bundesbeschluss vom 26. September 2014 über die Genehmigung und die Umsetzung des Notenaustausches zwischen der Schweiz und der EU betreffend die Übernahme der Verordnung [EU] Nr. 604/2013 zur Festlegung der Kriterien und Verfahren zur Bestimmung des BGE 150 II 57 S. 61 Mitgliedstaats, der für die Prüfung eines Antrags auf internationalen Schutz zuständig ist [AS 2015 1841 ff.]). Die Voraussetzungen dazu bestimmen sich im Rahmen von Art. 28 der Dublin-III-Verordnung nach Art. 76a AIG ( BGE 148 II 169 E. 2.1 mit Hinweisen).</w:t>
      </w:r>
    </w:p>
    <w:p>
      <w:r>
        <w:rPr>
          <w:b/>
        </w:rPr>
        <w:t>E. 3.1.2</w:t>
      </w:r>
    </w:p>
    <w:p>
      <w:r>
        <w:t>Nach Art. 28 Abs. 1 der Dublin-III-Verordnung dürfen die Mitgliedstaaten eine Person nicht allein deshalb in Haft nehmen, weil sie dem durch die Dublin-III-Verordnung festgelegten Verfahren unterliegt. Die Staaten können zur Sicherung des Überstellungsverfahrens eine gesuchstellende Person im Rahmen einer Einzelfallprüfung festhalten, wenn (1) eine erhebliche Fluchtgefahr besteht, (2) die freiheitsentziehende Massnahme sich als verhältnismässig erweist und (3) weniger einschneidende Massnahmen unwirksam erscheinen (Art. 28 Abs. 2 Dublin-III-Verordnung). Als Fluchtgefahr bezeichnet die Dublin-III-Verordnung das Vorliegen von Gründen im Einzelfall, die auf objektiven, gesetzlich festgelegten Kriterien beruhen und zur Annahme Anlass geben, dass sich ein Gesuchsteller, gegen den ein Überstellungsverfahren läuft, diesem durch Flucht entziehen könnte (Art. 2 Bst. n Dublin-III-Verordnung). Die einzelnen Staaten sind verpflichtet, in einer zwingenden Vorschrift mit allgemeiner Geltung die Kriterien zu nennen, auf denen die Gründe beruhen, die zu dieser Annahme Anlass geben ( BGE 148 II 169 E. 2.2 mit Hinweisen).</w:t>
      </w:r>
    </w:p>
    <w:p>
      <w:r>
        <w:rPr>
          <w:b/>
        </w:rPr>
        <w:t>E. 3.1.3</w:t>
      </w:r>
    </w:p>
    <w:p>
      <w:r>
        <w:t>Für die Haftbedingungen und die verfahrensrechtlichen Garantien von Personen in Dublin-Haft verweist Art. 28 Abs. 4 Dublin-III-Verordnung auf Artikel 9, 10 und 11 der Richtlinie 2013/33/EU des Europäischen Parlaments und des Rates vom 26. Juni 2013 zur Festlegung von Normen für die Aufnahme von Personen, die internationalen Schutz beantragen (Neufassung) (ABI. L 180 vom 29. Juni 2013 S. 96 ff.); diese Bestimmungen sind durch Inkorporation Teil der Dublin-III-Verordnung und als solche als Teil des acquis auch im Verhältnis zur Schweiz anwendbar ( BGE 143 II 361 E. 3.3 mit Hinweisen). Insbesondere sieht Art. 9 Abs. 2 der Richtlinie 2013/33/EU vor, dass die Haft von einer Justiz- oder Verwaltungsbehörde schriftlich angeordnet werden muss, wobei die sachlichen und rechtlichen Gründe für die Haft anzugeben sind. Nach Abs. 4 derselben Bestimmung sind die Inhaftierten zudem unverzüglich schriftlich und in einer ihnen verständlichen Sprache über die Gründe der Haft, Anfechtungsmöglichkeiten, sowie die Möglichkeit der Inanspruchnahme von unentgeltlicher Rechtsberatung und -vertretung BGE 150 II 57 S. 62 zu informieren; auf Letzteres haben sie bei der erstmaligen Haftprüfung zudem Anspruch (Art. 9 Abs. 6 der Richtlinie 2013/33/EU; vgl. BGE 143 II 361 E. 3). Schliesslich kommen die Bestimmungen zu den Haftbedingungen (Art. 10 der Richtlinie 2013/33/EU; vgl. auch Urteil 2C_781/2022 vom 8. November 2022 E. 3.2) zur Anwendung und ist den Umständen besonders schutzbedürftiger Personen Rechnung zu tragen (Art. 11 der Richtlinie 2013/33/EU).</w:t>
      </w:r>
    </w:p>
    <w:p>
      <w:r>
        <w:rPr>
          <w:b/>
        </w:rPr>
        <w:t>E. 3.1.4</w:t>
      </w:r>
    </w:p>
    <w:p>
      <w:r>
        <w:t>Die Schweiz hat die Dublin-III-Haftregeln in Art. 76a (materielles Recht) bzw. Art. 80a (Verfahren) AIG umgesetzt. Die Gründe für die Annahme einer erheblichen Fluchtgefahr im Sinne von Art. 28 Abs. 2 Dublin-III-Verordnung sind in Art. 76a Abs. 2 AIG gesetzlich umschrieben ( Art. 76a Abs. 2 lit. a-j AIG ); diese Aufzählung ist abschliessend ( BGE 142 I 135 E. 4.1 mit Hinweisen; Urteil 2C_199/2018 vom 9. Juli 2018 E. 4.1). Zur Anordnung von Haft gestützt auf Art. 76a AIG sind die Kantone zuständig ( Art. 80a Abs. 1 AIG ). Die Anzeichen dafür, dass eine erhebliche Fluchtgefahr besteht, dürfen nicht nur gestützt auf die gesetzlichen Haftgründe vermutet, sondern müssen im Einzelfall geprüft und begründet werden (Art. 28 Abs. 2 Dublin-III-Verordnung; vgl. CHATTON/MERZ, in: Code annoté de droit des migrations, Nguyen/Amarelle [Hrsg.], 2017, N. 14 ff. zu Art. 76a AIG ). In gleicher Weise zu prüfen und zu begründen ist, ob nicht bereits eine weniger einschneidende Massnahme hinreichend wirksam wäre ( Art. 76a Abs. 1 lit. c AIG ) und die Festhaltung sich insgesamt als verhältnismässig erweist ( Art. 5 Abs. 2 und Art. 36 Abs. 2 und Abs. 3 BV ; Art. 76a Abs. 1 lit. b AIG ). Die Haft muss aufgrund sämtlicher Umstände geeignet und erforderlich sein, um die Überstellung an den zuständigen Dublin-Staat sicherzustellen; zudem hat sie in einem sachgerechten und zumutbaren Verhältnis zum angestrebten Zweck zu stehen ( BGE 142 I 135 E. 4.1 mit Hinweisen). Die Rechtmässigkeit und Angemessenheit der Haft wird auf Antrag der inhaftierten Person in einem schriftlichen Verfahren überprüft; diese Überprüfung kann jederzeit beantragt werden ( Art. 80a Abs. 3 AIG ). Ferner kann die inhaftierte Person jederzeit ein Haftentlassungsgesuch einreichen; über ein solches hat die richterliche Behörde innert acht Arbeitstagen in einem schriftlichen Verfahren zu entscheiden ( Art. 80a Abs. 4 AIG ).</w:t>
      </w:r>
    </w:p>
    <w:p>
      <w:r>
        <w:rPr>
          <w:b/>
        </w:rPr>
        <w:t>E. 3.1.5</w:t>
      </w:r>
    </w:p>
    <w:p>
      <w:r>
        <w:t>Nach Einleitung des Dublin-Verfahrens sind grundsätzlich nur die für dieses vorgesehenen Haftbestimmungen unter Ausschluss allfälliger weiterer administrativer Haftarten nach dem nationalen Recht anwendbar (Urteil 2C_199/2018 vom 9. Juli 2018 E. 4.2; BGE 150 II 57 S. 63 CHATTON/MERZ, a.a.O., N. 6 in fine zu Art. 76a AIG ). Diese Bestimmungen sind in Übereinstimmung mit den völkerrechtlichen Verpflichtungen im Sinne des zu übernehmenden bzw. übernommenen Sekundärrechts der Europäischen Union auszulegen, in Bezug auf die Dublin-III-Haftregeln also in Übereinstimmung mit den Vorgaben von Art. 28 Dublin-III-Verordnung in Berücksichtigung der Praxis des EuGH zu dieser Bestimmung (vgl. Art. 1 Abs. 3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BGE 148 II 169 E. 3.1; BGE 143 I 437 E. 3.1; BGE 142 I 135 E. 4.1; BGE 140 II 74 E. 2.3). Ist eine solche Auslegung nicht möglich, geht Art. 28 Dublin-III-Verordnung dem nationalen Recht vor ( BGE 148 II 169 E. 5.2 mit Hinweisen).</w:t>
      </w:r>
    </w:p>
    <w:p>
      <w:r>
        <w:rPr>
          <w:b/>
        </w:rPr>
        <w:t>E. 3.2</w:t>
      </w:r>
    </w:p>
    <w:p>
      <w:r>
        <w:t>Demgegenüber richtet sich der polizeiliche Gewahrsam grundsätzlich nach kantonalem Recht, wobei für die Zwangsanwendung im Bereich des Asyl- und Ausländerrechts auch eine bundesrechtliche Rechtsgrundlage besteht:</w:t>
      </w:r>
    </w:p>
    <w:p>
      <w:r>
        <w:rPr>
          <w:b/>
        </w:rPr>
        <w:t>E. 3.2.1</w:t>
      </w:r>
    </w:p>
    <w:p>
      <w:r>
        <w:t>Im Kanton Thurgau ist der Polizeigewahrsam in § 33 ff. des Polizeigesetzes des Kantons Thurgau vom 9. November 2011 (PolG/TG; RB 551.1) geregelt. Er darf namentlich in Fällen schwerwiegender Störung der öffentlichen Ordnung und Sicherheit (§ 33 Ziff. 1), bei Selbst- oder Fremdgefährdung (§ 33 Ziff. 2), bei voraussichtlichem Bedarf fürsorgerischer Hilfe (§ 33 Ziff. 3), bei Flucht vor einer Freiheitsstrafe oder freiheitsentziehenden Massnahme (§ 33 Ziff. 4), wenn dies zur Sicherstellung einer Vor-, Zu- oder Rückführung notwendig ist (§ 33 Ziff. 5) oder zur Sicherung des Vollzugs einer polizeilichen Gewaltschutzmassnahme (§ 33 Ziff. 6) angeordnet werden. Der Polizeigewahrsam dauert lediglich bis zum Wegfall seines Grundes, längstens jedoch 24 Stunden (§ 35 Abs. 1 PolG/TG). Die Rechtmässigkeit des Freiheitsentzugs wird auf Antrag der betroffenen Person richterlich überprüft, wofür das Präsidium des Verwaltungsgerichts zuständig ist (§ 35 Abs. 2 und 3 PolG/ TG). Nach § 38 Abs. 1 PolG/TG vollzieht die Kantonspolizei die in die Zuständigkeit des Kantons Thurgau fallenden Rückführungen von ausreisepflichtigen Ausländerinnen und Ausländern. Grundsätzlich dient der Polizeigewahrsam der Aufrechterhaltung der öffentlichen Sicherheit und der Gefahrenabwehr (JÜRG MARCEL TIEFENTHAL, Kantonales Polizeirecht der Schweiz, 2018, S. 265; betreffend die BGE 150 II 57 S. 64 Polizeigesetzgebung im Kanton Zürich: PATRICE MARTIN ZUMSTEG, Der Polizeigewahrsam nach Zürcher Recht - Anmerkungen aus grundrechtlicher Sicht, sui generis 2023 S. 83; OPPLIGER/HEIMGARTNER, in: PolG, Kommentar zum Polizeigesetz des Kantons Zürich, 2018, N. 2 zu § 25 PolG/ZH). Dieser Zweck kommt in den in § 33 Abs. 1 PolG/TG aufgezählten Haftgründen zum Ausdruck.</w:t>
      </w:r>
    </w:p>
    <w:p>
      <w:r>
        <w:rPr>
          <w:b/>
        </w:rPr>
        <w:t>E. 3.2.2</w:t>
      </w:r>
    </w:p>
    <w:p>
      <w:r>
        <w:t>Nach § 33 Abs. 1 Ziff. 5 PolG/TG darf die Polizei eine Person in Gewahrsam nehmen, wenn dies zur Sicherstellung einer Vor-, Zu-, oder Rückführung notwendig ist. Die Bestimmung bezweckt, die weggewiesene Person unmittelbar zur Sicherstellung der bereits organisierten Rückführung in Gewahrsam zu nehmen, und erlaubt - im Rahmen der für alle Freiheitsentzüge geltenden Vorgaben im Gesetzes-, Verfassungs- und Konventionsrecht, namentlich Art. 5 EMRK - grundsätzlich eine Festhaltung (von max. 24 Stunden) bis zum erfolgreichen Wegweisungsvollzug (vgl. zur identischen Regelung im Polizeigesetz des Kantons Zürich: BGE 136 I 87 E. 7; Urteil 1C_355/ 2018 vom 14. November 2018 E. 4.3). Weil es sich beim Vollzug von asyl- und ausländerrechtlichen Wegweisungen um Zwangsmassnahmen im Zuständigkeitsbereich des Bundes im Bereich des Asyl- und Ausländerrechts handelt, stützt sich die Festhaltung in diesem Kontext zudem auf das Bundesgesetz vom 20. März 2008 über die Anwendung polizeilichen Zwangs und polizeilicher Massnahmen im Zuständigkeitsbereich des Bundes (Zwangsanwendungsgesetz, ZAG; SR 364). Bundesrechtlich ist vorgesehen, dass die mit dem Vollzug beauftragten Behörden polizeiliche Zwangsmassnahmen nach Art. 7, 9 und 26 ff. ZAG anwenden. Der zulässige polizeiliche Zwang richtet sich nach Art. 5 und 13 ff. ZAG ; für allfällige weitere polizeiliche Massnahmen gelten die Art. 6 und 19 ff. ZAG . Ausdrücklich genannt wird im Gesetz insbesondere das kurzfristige Festhalten von Personen ( Art. 6 und 19 ZAG ), ebenfalls bis max. 24 Stunden ( Art. 19 Abs. 2 ZAG ). Nach Art. 2 Abs. 1 lit. b ZAG gilt das Zwangsanwendungsgesetz unter anderem für alle kantonalen Behörden, die im Bereich der Ausländer- und Asylgesetzgebung polizeilichen Zwang oder polizeiliche Massnahmen anwenden müssen; die entsprechenden Kompetenzen bestehen namentlich, aber nicht ausschliesslich zur Erfüllung eines Zu- bzw. Rückführungsauftrags gemäss § 33 Abs. 1 Ziff. 5 und § 38 Abs. 1 PolG/TG (vgl. das Urteil 1C_355/2018 vom 14. November 2018 E. 4.4 zu den gleichlautenden Regelungen des Kantons Zürich). BGE 150 II 57 S. 65</w:t>
      </w:r>
    </w:p>
    <w:p>
      <w:r>
        <w:rPr>
          <w:b/>
        </w:rPr>
        <w:t>E. 3.2.3</w:t>
      </w:r>
    </w:p>
    <w:p>
      <w:r>
        <w:t>Im Urteil 1C_355/2018 vom 14. November 2018 hatte das Bundesgericht die kurzzeitige Festhaltung einer Person zu beurteilen, die auf gerichtliche Anordnung aus einer Ausschaffungshaft gestützt auf Art. 77 AuG (heute: AIG) hatte entlassen werden müssen, in der Folge aber im Hinblick auf eine gleichentags geplante Wegweisung in einen Drittstaat weiterhin festgehalten wurde. In diesem Kontext und im Hinblick auf die bereits organisierte Ausschaffung konnte die im dortigen Verfahren betroffene ausländische Person gestützt auf das kantonale Polizeirecht und das ZAG im Hinblick auf die für den gleichen Tag geplante Rückführung für einige Stunden festgehalten werden, wobei insbesondere Art. 6 und 19 ff. ZAG als gesetzliche Grundlage ausreichten, die Haft nicht willkürlich war, im öffentlichen Interesse lag und sich insgesamt als verhältnismässig erwies (Urteil 1C_355/2018 vom 14. November 2018 E. 4.7). Auf die dort zu beurteilende Festhaltung waren die Bestimmungen der Dublin-III-Verordnung allerdings nicht anwendbar, zumal es sich um einen Wegweisungsvollzug in einen Drittstaat (Marokko) und nicht um eine Rückführung im Rahmen des Dublin-Verfahrens handelte.</w:t>
      </w:r>
    </w:p>
    <w:p>
      <w:r>
        <w:rPr>
          <w:b/>
        </w:rPr>
        <w:t>E. 3.3</w:t>
      </w:r>
    </w:p>
    <w:p>
      <w:r>
        <w:t>Nach dem Gesagten stellt sich die Frage, ob und inwiefern es zulässig ist, Personen im Anwendungsbereich der Dublin-III-Verordnung zwecks Sicherstellung der Überstellung in Polizeigewahrsam zu nehmen; es ist zu klären, ob die Dublin-III-Verordnung und deren Umsetzung im nationalen Recht - wie das die Beschwerdeführerin geltend macht - die Inhaftierung zwecks Rückführung im Dublin-Verfahren abschliessend und ausschliesslich regeln.</w:t>
      </w:r>
    </w:p>
    <w:p>
      <w:r>
        <w:rPr>
          <w:b/>
        </w:rPr>
        <w:t>E. 3.3.1</w:t>
      </w:r>
    </w:p>
    <w:p>
      <w:r>
        <w:t>Art. 28 Abs. 2 Dublin-III-Verordnung regelt die Voraussetzungen für die Inhaftnahme einer dem Dublin-Verfahren unterworfenen Person "[...] [z]wecks Sicherstellung von Überstellungsverfahren [...]". Die Bestimmung regelt nach ihrem klaren Wortlaut die Inhaftnahme von Personen, die (allein) dem Zweck der Sicherstellung der Überführung in den zuständigen Dublin-Staat dient. Wie das Bundesgericht in einem früheren Verfahren bereits festgehalten hat, sind nach Einleitung des Dublin-Verfahrens grundsätzlich nur noch die für dieses vorgesehenen Haftbestimmungen anwendbar, unter Ausschluss allfälliger weiterer administrativer Haftarten (vgl. vorne E. 3.1.5; Urteil 2C_199/2018 vom 9. Juli 2018 E. 4.2). Offen ist, ob sich diese Auslegung nur auf die anderen Bestimmungen zur ausländerrechtlichen Administrativhaft in Art. 73 ff. AIG bezieht, oder ob nach Einleitung des Dublin-Verfahrens auch eine Inhaftierung im Rahmen BGE 150 II 57 S. 66 des polizeilichen Gewahrsams gestützt auf kantonales Polizeirecht und das ZAG zwecks Sicherstellung einer Rückführung in einen anderen Dublin-Staat grundsätzlich ausgeschlossen ist.</w:t>
      </w:r>
    </w:p>
    <w:p>
      <w:r>
        <w:rPr>
          <w:b/>
        </w:rPr>
        <w:t>E. 3.3.2</w:t>
      </w:r>
    </w:p>
    <w:p>
      <w:r>
        <w:t>Aus den europäischen Materialien - die von der Beschwerdeführerin zitiert werden - ergibt sich, dass mit den Haftbestimmungen der Dublin-III-Verordnung die Rechtsgarantien und der Rechtsschutz von Personen im Dublin-Verfahren gestärkt werden sollten; dazu wurde eine begrenzte Zahl von Gründen für die Ingewahrsamnahme von Asylbewerbern vorgeschlagen, um sicherzustellen, dass diese im Rahmen des Dublin-Verfahrens nicht willkürlich erfolgt (Vorschlag der Kommission der Europäischen Gemeinschaften vom 3. Dezember 2008 für eine Verordnung des Europäischen Parlaments und des Rates zur Festlegung der Kriterien und Verfahren zur Bestimmung des Mitgliedstaats, der für die Prüfung eines von einem Drittstaatsangehörigen oder Staatenlosen in einem Mitgliedsstaat gestellten Antrags auf internationalen Schutz zuständig ist [Neufassung], KOM [2008] 820 endgültig, S. 7). Aus der Botschaft des Bundesrates betreffend die Übernahme der Dublin-III-Verordnung ergibt sich ebenfalls, dass die Einführung von besonderen Haftbestimmungen bei Dublin-Verfahren die Stärkung der Rechtsgarantien für Personen, die dem Dublin-Verfahren unterliegen, bezweckte (Botschaft vom 7. März 2014 über die Genehmigung und die Umsetzung der Notenaustausche zwischen der Schweiz und der EU betreffend die Übernahme der Verordnungen [EU] Nr. 603/2013 und [EU] Nr. 604/2013 [Weiterentwicklungen des Dublin/Eurodac-Besitzstands], BBl 2014 2675, 2687 ff. [nachfolgend: Botschaft Dublin III]). Konkret hielt der Bundesrat fest, dass die Dublin-III-Verordnung die Möglichkeiten zur Vorbereitungs- und Ausschaffungshaft im Dublin-Verfahren einschränke, indem sie namentlich das Vorliegen einer erheblichen Untertauchensgefahr für die Anordnung der Dublin-Haft voraussetze (Botschaft Dublin III, a.a.O., S. 2692). In Bezug auf dieses Kriterium bestehe kein Handlungsspielraum (Botschaft Dublin III, a.a.O., S. 2695). Dasselbe ergibt sich auch aus den Beratungen der eidgenössischen Räte (Voten Bundesrätin Sommaruga, AB 2014 N 1252 und N 1319; Votum Nationalrat W. Müller, AB 2014 N 1318; Votum Nationalrat Pfister, AB 2014 N 1320; Berichterstatter Pfister äusserte sich zu einem Minderheitsantrag, der die Möglichkeit einer Inhaftierung ohne zusätzliche Gründe verlangte, wie folgt: "Hier ist es aber wesentlicher BGE 150 II 57 S. 67 Bestandteil der neuen Verordnung, dass dies nicht mehr genügt, sondern dass eine Untertauchensgefahr bestehen muss; es ist künftig nicht mehr möglich, jemanden in Haft zu nehmen, nur weil er ein Dublin-Fall ist. Die Spezialausschaffungshaft wird nicht abgeschafft, aber die Spezialausschaffungshaft ohne Angabe von Gründen. Das ist zwingender Bestandteil der neuen Verordnung. Wer das nicht will, muss konsequenterweise die ganze Verordnung ablehnen.").</w:t>
      </w:r>
    </w:p>
    <w:p>
      <w:r>
        <w:rPr>
          <w:b/>
        </w:rPr>
        <w:t>E. 3.3.3</w:t>
      </w:r>
    </w:p>
    <w:p>
      <w:r>
        <w:t>Diese Grundidee schlägt sich auch in der diesbezüglichen Rechtsprechung des EuGH nieder: Dieser hat betreffend Art. 28 Dublin-III-Verordnung im Urteil Al Chodor festgehalten, dass die Bestimmung insbesondere auch in Bezug auf die Inhaftierung ein hohes Schutzniveau für die Antragsteller bezweckt (Urteil des EuGH vom 15. März 2017 C-528/15 Al Chodor , Randnrn. 33 f.). Der EuGH entschied ferner, dass Art. 28 Dublin-III-Verordnung die Befugnis der Mitgliedstaaten zur Inhaftnahme erheblichen Beschränkungen unterwirft: Insbesondere sei in ihrem Anwendungsbereich eine Inhaftnahme zur Sicherstellung von Überstellungsverfahren nur möglich, wenn eine erhebliche Fluchtgefahr besteht, deren Beurteilung auf einer Einzelfallprüfung beruhen muss; die Haft muss zudem verhältnismässig sein, es dürfen keine wirksamen milderen Mittel möglich sein, und sie muss so kurz wie möglich dauern (Urteil Al Chodor , Randnr. 34). In einem vor kurzem ergangenen Urteil der grossen Kammer hielt der Gerichtshof zudem fest, dass der Haftzweck der Inhaftierung gestützt auf die Dublin-III-Verordnung im Erreichen der mit diesem Instrument im Bereich der Rückkehr, der Prüfung von Anträgen auf internationalen Schutz und der Überstellung von Drittstaatsangehörigen verfolgten Ziele und nicht in der Verfolgung oder Ahndung von Straftaten bestehe; angesichts der Schwere des mit einer Inhaftierung verbundenen Eingriffs in das in der Charta der Grundrechte der Europäischen Union verankerte Recht auf Freiheit sei die "[...] den zuständigen nationalen Behörden zuerkannte Befugnis, Drittstaatsangehörige in Haft zu nehmen, eng begrenzt [...]". Eine Inhaftierung könne "[...] nur unter Beachtung der allgemeinen und abstrakten Regeln, die deren Voraussetzungen und Modalitäten festlegen, angeordnet oder verlängert werden [...]" (Urteil des EuGH [Grosse Kammer] vom 8. November 2022 C-704/20 und C-39/21 Staatssecretaris van Justitie en Veiligheid [von Amts wegen erfolgende Prüfung der Haft] , Randnrn. 74 f.). Diese "allgemeinen und abstrakten Regeln" - so der EuGH - finden sich unter anderem in Art. 28 BGE 150 II 57 S. 68 Abs. 2, 3 und 4 der Dublin-III-Verordnung (Urteil Staatssecretaris van Justitie en Veiligheid [von Amts wegen erfolgende Prüfung der Haft] , Randnr. 76); sie stellen gemeinsam mit den nationalen Regeln zu ihrer Umsetzung (in der Schweiz: Art. 76a und Art. 80a AIG ) "[...] die sich aus dem Unionsrecht ergebenden Normen dar,die die Voraussetzungen für die Rechtmässigkeit der Haft, auch unter dem Blickwinkel von Art. 6 der Charta [der europäischenUnion], festlegen" (Urteil Staatssecretaris van Justitie en Veiligheid [von Amts wegen erfolgende Prüfung der Haft] , Randnr. 77).</w:t>
      </w:r>
    </w:p>
    <w:p>
      <w:r>
        <w:rPr>
          <w:b/>
        </w:rPr>
        <w:t>E. 3.3.4</w:t>
      </w:r>
    </w:p>
    <w:p>
      <w:r>
        <w:t>In der Schweizer Lehre wird grossmehrheitlich vertreten, dass neben den Bestimmungen der Dublin-Haft insbesondere andere Formen der ausländerrechtlichen Administrativhaft im Anwendungsbereich der Dublin-III-Verordnung nicht mehr angewendet werden dürfen (THOMAS HUGI YAR, in: Ausländerrecht, Uebersax und andere [Hrsg.], 3. Aufl. 2022, insb. Rz. 12.147; ZÜND, in: Migrationsrecht, 5. Aufl. 2019, insb. N. 1 zu Art. 76a AIG ; CHATTON/MERZ, a.a.O., insb. N. 1 und 6 zu Art. 76a AIG ; BAHAR IREM CATAK KANBER, Die ausländerrechtliche Administrativhaft, 2017, insb. S. 128, 132; HRUSCHKA/ NUFER, Erste Erfahrungen mit der neuen Dublin-Haft, Jusletter 22. Mai 2017, insb. Rz. 5; CONSTANTIN HRUSCHKA, Die rechtliche Umsetzung der europarechtlichen Vorgaben für die Haft in Schengen- und Dublin-Fällen in der Schweiz, in: Schengen und Dublin in der Praxis, Aktuelle Fragen, Breitenmoser/Gless/Lagodny [Hrsg.], 2015, insb. S. 341; MARTIN BUSINGER, Ausländerrechtliche Haft, 2015, S. 133, 135). Zur Zulässigkeit von Polizeigewahrsam äussert sich die Doktrin jedoch nicht. Auch wird im europäischen Schrifttum festgehalten, dass neben der Haftnorm von Art. 28 Dublin-III-Verordnung kein Raum für dessen Voraussetzungen unterschreitende nationale Regelungen mehr verbleibt (HRUSCHKA/MAIANI, in: EU Immigration and Asylum Law: Article-by-Article Commentary, Thym/Hailbronner [Hrsg.], 3. Aufl. 2022, N. 2 zu Art. 28 Dublin-III-Verordnung [S. 1730], die ausdrücklich statuieren, dass Einschränkungen der Freiheitsrechte von Personen im Dublin-Verfahren nicht über die von der Verordnung vorgesehenen hinausgehen dürfen, und dass insbesondere kein Raum für weitergehendes nationales Recht oder nationale Praxis besteht; ULRICH KOEHLER, Praxiskommentar zum Europäischen Asylzuständigkeitssystem, 2018, insb. N. 4 und 6 f. zu Art. 28 Dublin-III-Verordnung, der darauf hinweist, dass die Inhaftierung eines Gesuchstellers gemäss EuGH [Urteil C-601/15 vom 15. Februar 2016] rechtmässig BGE 150 II 57 S. 69 sein kann, wenn dies aus Gründen der nationalen Sicherheit oder der öffentlichen Ordnung erforderlich ist; ebenfalls grenzt er "Asylhaft" [zwecks verwaltungsmässiger Durchsetzung des Regelwerks der Dublin-III-Verordnung bzw. der Normen des Asyl- und Ausländerrechts, dem sich der Asylbewerber durch seine Flucht entziehen will] von Strafhaft [Verstoss gegen einen Straftatbestand als Haftgrund] ab. Für die "Asylhaft" gelten nach seiner Beurteilung die Voraussetzungen von Art. 28 Abs. 2 Dublin-III-Verordnung; sowie FILZWIESER/SPRUNG, Dublin-III-Verordnung, 2014, insb. N. 1 zu Art. 28 Dublin-III-Verordnung).</w:t>
      </w:r>
    </w:p>
    <w:p>
      <w:r>
        <w:rPr>
          <w:b/>
        </w:rPr>
        <w:t>E. 3.3.5</w:t>
      </w:r>
    </w:p>
    <w:p>
      <w:r>
        <w:t>Aus dem vorgängig Gesagten (E. 3.3.1-3.3.4) ergibt sich, dass Art. 28 Dublin-III-Verordnung für die Inhaftierung von ausländischen Personen zwecks Sicherstellung von Überstellungsverfahren haftrechtliche Minimalgarantien aufstellt. Die Verordnung bezweckt, in ihrem Anwendungsbereich die Inhaftierung von Personen engen (einheitlichen) Grenzen zu unterwerfen; sie lässt deshalb keinen Raum für innerstaatliche Regelungen, welche ihren Schutzzweck einschränken. Das bedeutet, dass jede Inhaftnahme von Personen im Dublin-Verfahren, die (ausschliesslich) zwecks Sicherstellung von Überstellungsverfahren erfolgt, den (Mindest-)Voraussetzungen der Verordnung genügen muss. Dabei trifft die Dublin-III-Verordnung keine Unterscheidung zwischen unterschiedlichen innerstaatlichen Rechtsgrundlagen für die Inhaftierung: liegt eine Haft zwecks Sicherstellung von Überstellungsverfahren vor, kommt die Dublin-III-Verordnung zur Anwendung. Wegen der besonderen Anforderungen der Dublin-III-Verordnung sowohl in Bezug auf die Voraussetzungen der Haftanordnung als auch die Haftbedingungen hat der Bundesgesetzgeber in Art. 76a AIG und Art. 80a AIG besondere Bestimmungen vorgesehen, welche diesen Anforderungen Rechnung tragen. Der Bundesgesetzgeber war sich bewusst, dass diese Regelung - insbesondere betreffend die Voraussetzung einer erheblichen Fluchtgefahr und die gesetzlich abschliessend umschriebenen Gründe für deren Annahme ( Art. 76a Abs. 1 AIG ) - die Möglichkeiten zur Inhaftnahme von Personen im Dublin-Verfahren beschränkt.</w:t>
      </w:r>
    </w:p>
    <w:p>
      <w:r>
        <w:rPr>
          <w:b/>
        </w:rPr>
        <w:t>E. 3.3.6</w:t>
      </w:r>
    </w:p>
    <w:p>
      <w:r>
        <w:t>Art. 28 Dublin-III-Verordnung kommt nur zur Anwendung, wenn eine Person in Haft genommen wird. Der EuGH verweist für den Haftbegriff der Dublin-Verordnung auf die Definition in Art. 2 Bst. h der Richtlinie 2013/33/EU: Haft ist demnach die räumliche Beschränkung einer Person auf einen bestimmten Ort; sie zwingt BGE 150 II 57 S. 70 die betroffene Person, sich dauerhaft in einem eingeschränkten, geschlossenen Bereich aufzuhalten, wo sie von der übrigen Bevölkerung isoliert und ihr die Bewegungsfreiheit entzogen ist (Urteil Staatssecretaris van Justitie en Veiligheid [von Amts wegen erfolgende Prüfung der Haft] , Randnr. 73 mit Verweis auf das Urteil des EuGH [Grosse Kammer] vom 14. Mai 2020 C-924/19 und C-925/19 Országos Idegenrendészeti Foigazgatóság Dél-alföldi Regionális Igazgatóság , Randnrn. 217-225). Im Interesse einer einheitlichen Rechtsanwendung ist für die Auslegung des Haftbegriffs im Anwendungsbereich der Dublin-III-Verordnung auf den Begriff des Freiheitsentzugs und die entsprechende Auslegung von Art. 31 BV sowie Art. 5 EMRK zurückzugreifen (vgl. dazu BGE 136 I 87 E. 6.5.3 mit Hinweisen [als Beispiele für Freiheitsentzug werden eine mehrstündige Festnahme unter Abnahme der persönlichen Utensilien, sowie eine Unterbringung in einer Zelle während 4 Stunden oder eine 20-stündige Zurückhaltung aufgeführt]).</w:t>
      </w:r>
    </w:p>
    <w:p>
      <w:r>
        <w:rPr>
          <w:b/>
        </w:rPr>
        <w:t>E. 3.3.7</w:t>
      </w:r>
    </w:p>
    <w:p>
      <w:r>
        <w:t>Vor diesem Hintergrund bleibt für Polizeigewahrsam gestützt auf kantonales Recht in Verbindung mit dem ZAG kein Raum, wenn dieser die Schwelle eines Freiheitsentzugs erreicht und die Inhaftnahme einzig zum Zweck erfolgt, eine Rückführung im Dublin-Verfahren sicher zu stellen. Diese Rechtslage bedeutet (selbstredend) nicht, dass es ausgeschlossen ist, Personen im Dublin-Verfahren gestützt auf andere, ausserhalb des Vollzugs der Rücküberstellung liegende, gesetzliche Gründe zu inhaftieren, wenn die dafür geltenden spezifischen Voraussetzungen zur Aufrechterhaltung der öffentlichen Sicherheit und Ordnung respektive Gefahrenabwehr erfüllt sind (vgl. hiervor E. 3.2.1). In solchen Fällen kommt Art. 28 Dublin-III-Verordnung nicht zur Anwendung; dieser begrenzt die Haftbefugnisse der nationalen Behörden dort, wo es um die Sicherung der Überstellung einer Person in den Dublin-Empfängerstaat geht.</w:t>
      </w:r>
    </w:p>
    <w:p>
      <w:r>
        <w:rPr>
          <w:b/>
        </w:rPr>
        <w:t>E. 4</w:t>
      </w:r>
    </w:p>
    <w:p>
      <w:r>
        <w:t>Angewendet auf den vorliegenden Fall bedeutet diese Rechtslage das Folgende:</w:t>
      </w:r>
    </w:p>
    <w:p>
      <w:r>
        <w:rPr>
          <w:b/>
        </w:rPr>
        <w:t>E. 4.1</w:t>
      </w:r>
    </w:p>
    <w:p>
      <w:r>
        <w:t>Zu beurteilen ist einzig, ob die Vorinstanz das Nichteintreten des Zwangsmassnahmengerichts zu Recht oder zu Unrecht geschützt hat (vgl. nicht publ. E. 1.2). Diesbezüglich ist entscheidend, welcher Hafttitel der Inhaftierung zugrunde lag. Umstritten ist, ob es sich bei der angeordneten Haft um eine Dublin-Haft nach Art. 76a AIG oder eine Polizeihaft gestützt auf § 33 ff. PolG/TG gehandelt hat. Je nachdem, auf welcher Rechtsgrundlage die angeordnete Haft beruht, BGE 150 II 57 S. 71 unterscheidet sich der einzuschlagende Rechtsmittelweg. Ausländerrechtliche Zwangsmassnahmen gestützt auf Art. 70 Abs. 2 AIG und Art. 73 bis Art. 80a AIG prüft im Kanton Thurgau das Zwangsmassnahmengericht (§ 5 der Verordnung des Regierungsrates vom 8. September 2009 zum Ausländer- und Integrationsgesetz, zum Freizügigkeitsabkommen und zum Asylgesetz [RRV AIG/FZA/AsylG/TG; RB 142.211]); gegen dessen Entscheid kann Beschwerde an das Verwaltungsgericht geführt werden (§ 54 Abs. 1 Ziff. 2 des Gesetzes vom 23. Februar 1981 über die Verwaltungsrechtspflege [VRG/TG; RB 170.1]). Die Rechtmässigkeit von polizeilichem Gewahrsam nach § 33 ff. PolG/TG wird hingegen - kantonal letztinstanzlich - vom Präsidium des Verwaltungsgerichts geprüft (§ 35 Abs. 3 PolG/TG). Verfahrensgegenstand bildet in beiden Verfahren die Rechtmässigkeit der Haft nach den jeweils geltenden Voraussetzungen.</w:t>
      </w:r>
    </w:p>
    <w:p>
      <w:r>
        <w:rPr>
          <w:b/>
        </w:rPr>
        <w:t>E. 4.2</w:t>
      </w:r>
    </w:p>
    <w:p>
      <w:r>
        <w:t>Wie dargelegt ist eine Inhaftnahme im Rahmen des Polizeigewahrsams gestützt auf kantonales Recht und ZAG ausschliesslich zwecks Sicherstellung der Überstellung in den Dublin-Empfängerstaat nicht zulässig (vorne E. 3.3.7); stattdessen muss ein solcher Freiheitsentzug gestützt auf - und unter den Voraussetzungen von - Art. 76a und Art. 80a AIG (respektive Art. 28 Dublin-III-Verordnung) erfolgen. Im vorliegend zu beurteilenden Fall liegen keinerlei Hinweise vor, dass andere, ausserhalb des Vollzugs der Dublin-Überstellung gelegene, Gründe für einen Polizeigewahrsam vorgelegen haben könnten; solche werden seitens des verfahrensbeteiligten Amtes auch nicht geltend gemacht. Im Gegenteil ergibt sich aus den Umständen der Inhaftierung ohne Weiteres, dass diese der Sicherung der Überstellung diente. Angesichts der Haftdauer von doch knapp 20 Stunden, zudem über Nacht im Kantonalgefängnis, handelte es sich sodann eindeutig um einen Freiheitsentzug resp. eine Haft im Sinne von Art. 28 Dublin-III-Verordnung, die nicht als bloss kurzfristige Festhaltung im Rahmen des Überstellungsvorgangs an sich betrachtet werden kann; dass es sich um Haft handelte, war auch im Verfahren vor der Vorinstanz nicht bestritten. Damit steht fest, dass die Beschwerdeführerin im Rahmen des Dublin-Verfahrens und ausschliesslich zwecks Sicherstellung der Überstellung in den Dublin-Empfängerstaat Malta inhaftiert wurde. Wegen der grundsätzlichen Unzulässigkeit einer Inhaftierung im Rahmen des Polizeigewahrsams in einer solchen Konstellation, ist materiell von einer Dublin-Haft im Anwendungsbereich von Art. 76a und Art. 80a AIG (respektive Art. 28 Dublin-III-Verordnung) auszugehen. Deren BGE 150 II 57 S. 72 Rechtmässigkeit - namentlich hinsichtlich der Voraussetzungen der Inhaftierung, der Verfahrensgarantien sowie der Haftbedingungen (vorne E. 3.1) - wäre durch das Zwangsmassnahmengericht des Kantons Thurgau zu beurteilen gewesen.</w:t>
      </w:r>
    </w:p>
    <w:p>
      <w:r>
        <w:rPr>
          <w:b/>
        </w:rPr>
        <w:t>E. 4.3</w:t>
      </w:r>
    </w:p>
    <w:p>
      <w:r>
        <w:t>Der Nichteintretensentscheid des Zwangsmassnahmengerichts des Kantons Thurgau, und in der Folge auch das vorliegend angefochtene Urteil des Verwaltungsgerichts, erweisen sich unter diesen Umständen als rechtswidrig. Damit erübrigt sich auch die Prüfung der weiteren Vorbringen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