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408</w:t>
      </w:r>
    </w:p>
    <w:p>
      <w:r>
        <w:t>Bundesgericht (BGE), 2024-08-02, DE</w:t>
      </w:r>
    </w:p>
    <w:p>
      <w:r>
        <w:rPr>
          <w:b/>
        </w:rPr>
        <w:t xml:space="preserve">Quelle: </w:t>
      </w:r>
      <w:r>
        <w:t>https://mcp.opencaselaw.ch/entscheid/bge_BGE_150_III_408</w:t>
      </w:r>
    </w:p>
    <w:p>
      <w:r>
        <w:t>FR: ATF 150 III 408</w:t>
      </w:r>
    </w:p>
    <w:p>
      <w:r>
        <w:t>IT: DTF 150 III 408</w:t>
      </w:r>
    </w:p>
    <w:p>
      <w:pPr>
        <w:pStyle w:val="Heading2"/>
      </w:pPr>
      <w:r>
        <w:t>Regeste</w:t>
      </w:r>
    </w:p>
    <w:p>
      <w:r>
        <w:t>Regeste Art. 92 Abs. 1 Ziff. 9a SchKG; Pfändung von Sparguthaben aus Sozialversicherungsleistungen. Zur Frage, ob der Pfändung auch Sparguthaben unterliegen, die aus unpfändbaren AHV- oder IV-Renten, Ergänzungsleistungen oder Leistungen der Familienausgleichskassen (Art. 92 Abs. 1 Ziff. 9a SchKG) geäufnet werden (E. 2.3 und 2.4).</w:t>
      </w:r>
    </w:p>
    <w:p>
      <w:r>
        <w:t>Regeste Art. 92 al. 1 ch. 9a LP; saisie d'avoirs d'épargne provenant de prestations d'assurances sociales. Sur la question de savoir si les avoirs d'épargne constitués à partir de biens insaisissables que sont les rentes AVS ou AI, les prestations complémentaires ou les prestations des caisses de compensation pour allocations familiales (art. 92 al. 1 ch. 9a LP) peuvent être saisis (consid. 2.3 et 2.4).</w:t>
      </w:r>
    </w:p>
    <w:p>
      <w:r>
        <w:t>Regesto Art. 92 cpv. 1 n. 9a LEF; pignoramento di averi di risparmio provenienti da prestazioni delle assicurazioni sociali. Esame della pignorabilità degli averi di risparmio accumulati con le impignorabili rendite AVS o AI, prestazioni complementari o prestazioni delle casse di compensazione per indennità familiari (art. 92 cpv. 1 n. 9a LEF) (consid. 2.3 e 2.4).</w:t>
      </w:r>
    </w:p>
    <w:p>
      <w:pPr>
        <w:pStyle w:val="Heading2"/>
      </w:pPr>
      <w:r>
        <w:t>Erwägungen</w:t>
      </w:r>
    </w:p>
    <w:p>
      <w:r>
        <w:rPr>
          <w:b/>
        </w:rPr>
        <w:t>E. 2</w:t>
      </w:r>
    </w:p>
    <w:p>
      <w:r>
        <w:t>Der Streit dreht sich um die Frage, ob das fragliche Bankguthaben (vgl. Sachverhalt Bst. A) pfändbar ist. (...)</w:t>
      </w:r>
    </w:p>
    <w:p>
      <w:r>
        <w:rPr>
          <w:b/>
        </w:rPr>
        <w:t>E. 2.3</w:t>
      </w:r>
    </w:p>
    <w:p>
      <w:r>
        <w:t>Gemäss Art. 92 Abs. 1 Ziff. 9a SchKG sind die Renten gemäss Art. 20 AHVG oder gemäss Art. 50 IVG , die Leistungen gemäss Art. 12 ELG (SR 831.30) sowie die Leistungen der Familienausgleichskassen unpfändbar. Die von der zitierten Norm erfassten Leistungen sind dem Zugriff der Gläubiger entzogen, selbst wenn sie einmal das Existenzminimum des Schuldners und seiner Familie übersteigen sollten ( BGE 143 III 385 E. 4.2; BGE 135 III 20 E. 5). Die Pfändung dieser Leistungen ist nichtig ( BGE 130 III 400 E. 3.2). Von den unpfändbaren AHV- und IV-Renten, den BGE 150 III 408 S. 410 Ergänzungsleistungen und den Leistungen der Familienausgleichskassen zu unterscheiden sind die Sparguthaben, die aus diesen Sozialversicherungsleistungen geäufnet werden. Solche Sparguthaben sind nach herrschender Meinung pfändbar, und zwar auch dann, wenn sie sich auf dem Durchgangskonto befinden, auf das die unpfändbaren Leistungen fliessen, für die Bestreitung des Lebensunterhalts jedoch nicht angetastet werden (GEORGES VONDER MÜHLL, in: Basler Kommentar, Bundesgesetz über Schuldbetreibung und Konkurs, Bd. I, 3. Aufl. 2021, N. 38 zu Art. 92 SchKG ; THOMAS WINKLER, in: Kommentar zum Bundesgesetz über Schuldbetreibung und Konkurs SchKG, Kren Kostkiewicz/Vock [Hrsg.], 4. Aufl. 2017, N. 63 zu Art. 92 SchKG ; JOLANTA KREN KOSTKIEWICZ, in: SchKG, Kurzkommentar, 2. Aufl. 2014, N. 70 zu Art. 92 SchKG ; Urteil des Obergerichts des Kantons Basel-Landschaft vom 12. Oktober 1999, Amtsbericht Basel-Landschaft 1999, in: SJZ 96/2000 S. 540). Die Pfändbarkeit derartiger Ersparnisse wird damit begründet, dass die in Art. 92 SchKG enthaltene Aufzählung der unpfändbaren Gegenstände und Ansprüche abschliessend und der Kompetenzanspruch vorbehältlich einer gegenteiligen Regelung nicht auf Geldsurrogate oder auf andere Ersatzobjekte übertragbar ist; in diesem Sinne sei das Sparguthaben, das aus zum laufenden Verbrauch bestimmten unpfändbaren Sozialversicherungsleistungen geäufnet wurde, ein pfändbares Surrogat (VONDER MÜHLL, a.a.O., N. 59 zu Art. 92 SchKG ).</w:t>
      </w:r>
    </w:p>
    <w:p>
      <w:r>
        <w:rPr>
          <w:b/>
        </w:rPr>
        <w:t>E. 2.4</w:t>
      </w:r>
    </w:p>
    <w:p>
      <w:r>
        <w:t>Der Beschwerdeführer begnügt sich damit, seine im kantonalen Verfahren erhobenen Beanstandungen zu wiederholen und dem angefochtenen Entscheid die eigene Sicht der Sach- und Rechtslage gegenüberzustellen. Damit verkennt er, dass die rechtsuchende Partei in gezielter Auseinandersetzung mit den für das Ergebnis des angefochtenen Entscheids massgeblichen Erwägungen plausibel aufzuzeigen hat, welche Rechte bzw. Rechtsnormen die Vorinstanz verletzt haben soll ( BGE 143 II 283 E. 1.2.2; BGE 142 I 99 E. 1.7.1). Was den Sachverhalt angeht, ist das Bundesgericht an die vorinstanzlichen Feststellungen grundsätzlich gebunden ( Art. 105 Abs. 1 BGG ); diesbezüglich kann nur vorgebracht werden, dass diese Feststellungen offensichtlich unrichtig ( Art. 97 Abs. 1 BGG ), das heisst willkürlich (s. BGE 140 III 264 E. 2.3) seien oder auf einer anderen Rechtsverletzung im Sinn von Art. 95 BGG (z.B. auf einer Verletzung von Art. 29 Abs. 2 BV oder Art. 8 ZGB ) beruhen würden (Urteil 5A_374/2010 vom 9. Juli 2010 E. 1). BGE 150 III 408 S. 411 Entgegen dem, was der Beschwerdeführer glauben machen will, schliesst allein die Tatsache, dass sein Konto bei der Bank B. ausschliesslich mit Rentenleistungen der AHV und mit Ergänzungsleistungen gespeist wird, nicht von vornherein aus, ein darauf befindliches Guthaben der Pfändung zu unterwerfen. Die diesbezüglichen Voraussetzungen sind im angefochtenen Entscheid zutreffend dargestellt. Hierfür kommt es weder auf die Ausdrucksweise an, derer sich der Beschwerdeführer bedient, noch auf das Existenzminimum, welches das Betreibungsamt für den Beschwerdeführer ermittelt hat. Auch dass der Beschwerdeführer für den Bezug der Sozialversicherungsleistungen auf ein Bankkonto angewiesen ist, tut nichts zur Sache. Ausschlaggebend ist allein die vorinstanzlich festgestellte Tatsache, dass der Saldo des betreffenden Bankkontos über eine Zeitspanne von rund sechs Monaten grundsätzlich nur leichten Schwankungen unterlag und sich grösstenteils zwischen Fr. 14'000.- und Fr. 18'000.- bewegte. Diese Sachverhaltsfeststellung stellt der Beschwerdeführer im hiesigen Verfahren nicht in Abrede, noch bestreitet er die vorinstanzliche Erkenntnis, wonach er trotz verschiedener grösserer Ausgaben nicht auf das inzwischen gepfändete Sparguthaben in der Höhe von Fr. 10'351.- habe zurückgreifen müssen. Vielmehr räumt er vor Bundesgericht selbst ein, das fragliche Bankguthaben angespart zu haben. Er täuscht sich jedoch, wenn er meint, diese Mittel im Zwangsvollstreckungsverfahren gewissermassen als Vermögensfreibetrag oder "Notgroschen" für den Lebensunterhalt zusätzlich in Rechnung stellen zu können. Auch soweit der Beschwerdeführer abermals bestreitet, dass am 13. November 2023 überhaupt eine ordentliche Pfändung stattgefunden habe, kann seiner Beschwerde kein Erfolg beschieden sein. Dem angefochtenen Entscheid zufolge erklärte der Beschwerdeführer in seiner Beschwerde an das Bezirksgericht, das Aufgebot zum Pfändungsvollzug vom 13. November 2023 erhalten, am Vollzug teilgenommen und das Pfändungsprotokoll unterzeichnet zu haben. Weshalb diese vorinstanzliche Feststellung über den Prozesssachverhalt (s. dazu BGE 140 III 16 E. 1.3.1) im Sinne von Art. 97 Abs. 1 BGG offensichtlich unrichtig sein soll, mag der Beschwerdeführer nicht erklären. Ebenso wenig tut er dar, weshalb sich das Obergericht angesichts dieser Feststellung nicht mit der Erklärung begnügen durfte, dass er sich in Widersprüche verstricke. Dass die umstrittene Pfändung nicht im aktenkundigen Auszug aus dem Betreibungsregister vom 19. Januar 2024 vermerkt ist, liegt im Übrigen BGE 150 III 408 S. 412 in der Natur dieser Urkunde, die gemäss den darauf abgedruckten Informationen (lediglich) über die Betreibungen und die noch nicht getilgten Verlustscheine aus Pfändungen Auskunft 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