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223</w:t>
      </w:r>
    </w:p>
    <w:p>
      <w:r>
        <w:t>Bundesgericht (BGE), 2024-03-20, DE</w:t>
      </w:r>
    </w:p>
    <w:p>
      <w:r>
        <w:rPr>
          <w:b/>
        </w:rPr>
        <w:t xml:space="preserve">Quelle: </w:t>
      </w:r>
      <w:r>
        <w:t>https://mcp.opencaselaw.ch/entscheid/bge_BGE_150_III_223</w:t>
      </w:r>
    </w:p>
    <w:p>
      <w:r>
        <w:t>FR: ATF 150 III 223</w:t>
      </w:r>
    </w:p>
    <w:p>
      <w:r>
        <w:t>IT: DTF 150 III 223</w:t>
      </w:r>
    </w:p>
    <w:p>
      <w:pPr>
        <w:pStyle w:val="Heading2"/>
      </w:pPr>
      <w:r>
        <w:t>Regeste</w:t>
      </w:r>
    </w:p>
    <w:p>
      <w:r>
        <w:t>Regeste Art. 1, Art. 2, Art. 9 Abs. 1 lit. a, Art. 10 bis , Art. 13 Abs. 1, Art. 14, Art. 15 Abs. 1, Art. 16 Abs. 1 und Abs. 3, Art. 20, Art. 24 GebV SchKG; Art. 16, Art. 34, Art. 72 Abs. 1, Art. 90, Art. 112, Art. 114, Art. 115 Abs. 1 SchKG; Kosten von Zahlungsbefehlen, Pfändungsankündigungen und Verlustscheinen. Allgemeines zu Gebühren und Entschädigungen gemäss GebV SchKG (E. 3.1). Kosten für die Zustellung von Zahlungsbefehlen (E. 3.2.1); Gebühr bei einem erfolglosen Zustellversuch (E. 3.2.2) und für eine Abholungseinladung. Art. 10 bis GebV SchKG stellt keine genügende gesetzliche Grundlage dar, um für die Einladung zur Abholung eines Zahlungsbefehls Kosten in Rechnung zu stellen (E. 3.2.3). Die Kosten für eine Pfändungsankündigung sind nicht in Art. 20 GebV SchKG geregelt (E. 3.3.1). Die Pfändungsankündigung ist nach Art. 34 SchKG zuzustellen. Die Zustellung mit A-Post ist nicht vorgesehen und kann nicht in Rechnung gestellt werden (E. 3.3.2). Pfändungsurkunde als Verlustschein (Art. 115 Abs. 1 SchKG). Art. 20 Abs. 1 GebV SchKG bezieht sich nur auf die Abfassung der Pfändungsurkunde für das Amt (Art. 112 SchKG) und nicht auf die Abschriften für den Schuldner und die Gläubiger (Art. 114 SchKG). Gebühren für diese Abschriften (Art. 24 GebV SchKG). Die Abschriften sind nach Art. 34 SchKG zuzustellen. Die Zustellung mit A-Post ist nicht vorgesehen und kann nicht in Rechnung gestellt werden (E. 3.4). Wegentschädigungen (Art. 14 und 15 GebV SchKG). Verletzung des rechtlichen Gehörs; Sachverhaltsfeststellung von Amtes wegen (Art. 20a Abs. 2 Ziff. 2 SchKG) und Pflicht der Aufsichtsbehörden, die Anwendung der GebV SchKG zu überwachen (Art. 2 GebV SchKG) (E. 3.5).</w:t>
      </w:r>
    </w:p>
    <w:p>
      <w:r>
        <w:t>Regeste Art. 1, art. 2, art. 9 al. 1 let. a, art. 10 bis , art. 13 al. 1, art. 14, art. 15 al. 1, art. 16 al. 1 et al. 3, art. 20, art. 24 OELP; art. 16, art. 34, art. 72 al. 1, art. 90, art. 112, art. 114, art. 115 al. 1 LP; frais des commandements de payer, des avis de saisie et des actes de défaut de biens. Généralités sur les émoluments et les indemnités selon l'OELP (consid. 3.1). Frais de notification des commandements de payer (consid. 3.2.1); émolument en cas de tentative infructueuse de notification (consid. 3.2.2) et pour une invitation à retirer l'envoi. L'art. 10 bis OELP ne constitue pas une base légale suffisante pour facturer des frais relatifs à l'invitation à retirer un commandement de payer (consid. 3.2.3). Les frais relatifs à un avis de saisie ne sont pas réglés à l'art. 20 OELP (consid. 3.3.1). L'avis de saisie doit être notifié conformément à l'art. 34 LP. La notification par courrier A n'est pas prévue et ne peut pas être facturée (consid. 3.3.2). Procès-verbal de saisie comme acte de défaut de biens (art. 115 al. 1 LP). L'art. 20 al. 1 OELP ne se réfère qu'à la rédaction du procès-verbal de saisie pour l'office (art. 112 LP) et non aux copies pour le débiteur et les créanciers (art. 114 LP). Émoluments pour ces copies (art. 24 OELP). Les copies doivent être notifiées conformément à l'art. 34 LP. La notification par courrier A n'est pas prévue et ne peut pas être facturée (consid. 3.4). Indemnités de déplacement (art. 14 et 15 OELP). Violation du droit d'être entendu; constatation des faits d'office (art. 20a al. 2 ch. 2 LP) et obligation des autorités de surveillance de veiller à l'application de l'OELP (art. 2 OELP) (consid. 3.5).</w:t>
      </w:r>
    </w:p>
    <w:p>
      <w:r>
        <w:t>Regesto Art. 1, art. 2, art. 9 cpv. 1 lett. a, art. 10 bis , art. 13 cpv. 1, art. 14, art. 15 cpv. 1, art. 16 cpv. 1 e cpv. 3, art. 20, art. 24 OTLEF; art. 16, art. 34, art. 72 cpv. 1, art. 90, art. 112, art. 114, art. 115 cpv. 1 LEF; spese per precetti esecutivi, avvisi di pignoramento e attestati di carenza di beni. Considerazioni generali su tasse e indennità secondo l'OTLEF (consid. 3.1). Spese per la notifica di precetti esecutivi (consid. 3.2.1); tassa in caso di tentativo infruttuoso di notifica (consid. 3.2.2) e per un invito a ritirare un precetto esecutivo. L'art. 10 bis OTLEF non costituisce una base legale sufficiente per fatturare le spese relative all'invito a ritirare un precetto esecutivo (consid. 3.2.3). Le spese per un avviso di pignoramento non sono regolamentate all'art. 20 OTLEF (consid. 3.3.1). L'avviso di pignoramento deve essere notificato conformemente all'art. 34 LEF. La notifica per posta A non è prevista e non può essere fatturata (consid. 3.3.2). Verbale di pignoramento valido come attestato di carenza di beni (art. 115 cpv. 1 LEF). L'art. 20 cpv. 1 OTLEF si riferisce soltanto alla stesura del verbale di pignoramento per l'ufficio (art. 112 LEF) e non alle copie per il debitore e i creditori (art. 114 LEF). Tasse per tali copie (art. 24 OTLEF). Le copie devono essere notificate conformemente all'art. 34 LEF. La notifica per posta A non è prevista e non può essere fatturata (consid. 3.4). Indennità di trasferta (art. 14 e 15 OTLEF). Violazione del diritto di essere sentito; accertamento dei fatti d'ufficio (art. 20a cpv. 2 n. 2 LEF) e obbligo delle autorità di vigilanza di sorvegliare l'applicazione dell'OTLEF (art. 2 OTLEF) (consid. 3.5).</w:t>
      </w:r>
    </w:p>
    <w:p>
      <w:pPr>
        <w:pStyle w:val="Heading2"/>
      </w:pPr>
      <w:r>
        <w:t>Erwägungen</w:t>
      </w:r>
    </w:p>
    <w:p>
      <w:r>
        <w:rPr>
          <w:b/>
        </w:rPr>
        <w:t>E. 3</w:t>
      </w:r>
    </w:p>
    <w:p>
      <w:r>
        <w:t>Anlass zur Beschwerde geben die Kostenrechnungen des Betreibungsamtes in den beiden genannten Betreibungsverfahren. Der Beschwerdeführer bestreitet einzelne Punkte im Zusammenhang mit den Zahlungsbefehlen (unten E. 3.2), den Pfändungsankündigungen (unten E. 3.3), den Verlustscheinen (unten E. 3.4) und bei den Wegentschädigungen (unten E. 3.5).</w:t>
      </w:r>
    </w:p>
    <w:p>
      <w:r>
        <w:rPr>
          <w:b/>
        </w:rPr>
        <w:t>E. 3.1</w:t>
      </w:r>
    </w:p>
    <w:p>
      <w:r>
        <w:t>Welche Gebühren und Entschädigungen zu belasten und wie sie zu bemessen sind, bestimmt ausschliesslich die Gebührenverordnung vom 23. September 1996 zum Bundesgesetz über Schuldbetreibung und Konkurs (GebV SchKG; SR 281.35). Andere als die darin vorgesehenen Gebühren und Entschädigungen dürfen im Rahmen eines Vollstreckungs-, Nachlass- oder Notstundungsverfahrens nicht erhoben werden ( Art. 1 GebV SchKG ). Es wird unterschieden zwischen Gebühren, d.h. dem Entgelt für die besondere Inanspruchnahme amtlicher Tätigkeit, und Entschädigungen, d.h. den Auslagen, die mit Amtshandlungen verbunden sind, wie Porti, Reiseauslagen, Inserate, Verpflegung und Unterkunft, Post, Telefon und dergleichen ( BGE 144 III 425 E. 2.3.3; BGE 136 III 155 E. 3.3 mit Hinweisen).</w:t>
      </w:r>
    </w:p>
    <w:p>
      <w:r>
        <w:rPr>
          <w:b/>
        </w:rPr>
        <w:t>E. 3.2.1</w:t>
      </w:r>
    </w:p>
    <w:p>
      <w:r>
        <w:t>Nicht strittig sind die Gebühren für die Zahlungsbefehle von je Fr. 20.- gemäss Art. 16 Abs. 1 GebV SchKG . Der BGE 150 III 223 S. 227 Beschwerdeführer ist jedoch der Auffassung, die Zustellkosten von je Fr. 13.30 dürften nicht dazugeschlagen werden, da die Zustellkosten bereits im Betrag von Fr. 20.- gemäss Art. 16 Abs. 1 GebV SchKG enthalten seien. Art. 16 Abs. 1 GebV SchKG setzt die Gebühr "für den Erlass, die doppelte Ausfertigung, die Eintragung und die Zustellung des Zahlungsbefehls" fest. Was die erwähnte "Zustellung des Zahlungsbefehls" betrifft, geht es dabei nur um die Beanspruchung des Betreibungsamtes selber (vgl. BGE 136 III 155 E. 3.3.1). Zur Gebühr nach Art. 16 Abs. 1 GebV SchKG kommen jedoch die Auslagen hinzu, d.h. die Geldbeträge, die das Betreibungsamt vorleistet, um die geforderte amtliche Handlung - die Zustellung des Zahlungsbefehls - zu erbringen. Zur Gebühr sind folglich als Auslagen die Posttaxen hinzuzuschlagen, soweit sie nach Art. 13 GebV SchKG zu ersetzen sind ( BGE 136 III 155 E. 3.3.2). Die vom Beschwerdeführer beanstandeten Beträge von je Fr. 13.30 sind gemäss den obergerichtlichen Feststellungen Auslagen für die "BU- und R-Zustellung" der Post. Dies wird vom Beschwerdeführer nicht in Frage gestellt. Diese Kosten durften demnach nach Art. 13 Abs. 1 GebV SchKG zur Gebühr nach Art. 16 Abs. 1 GebV SchKG hinzugeschlagen werden. Die Kosten für die Zahlungsbefehle von insgesamt je Fr. 33.30 sind damit nicht zu beanstanden.</w:t>
      </w:r>
    </w:p>
    <w:p>
      <w:r>
        <w:rPr>
          <w:b/>
        </w:rPr>
        <w:t>E. 3.2.2</w:t>
      </w:r>
    </w:p>
    <w:p>
      <w:r>
        <w:t>Der Beschwerdeführer wirft sodann die Frage auf, ob die Kosten für den erfolglosen Zustellversuch (Betreibung Nr. x) von Fr. 7.- nicht bereits in der Gebühr von Fr. 20.- enthalten sind. Dies ist jedoch - zumindest im Ergebnis - nicht der Fall. Art. 16 Abs. 1 GebV SchKG deckt nur den ersten Zustellversuch, und zwar unabhängig davon, ob er erfolgreich ist oder nicht. Nach dem ersten Zustellversuch kommt für jeden weiteren Zustellversuch die in Art. 16 Abs. 3 GebV SchKG vorgesehene Gebühr von Fr. 7.- dazu (zum Ganzen: Urteil 7B.266/2003 vom 24. März 2004 E. 3.4). Entgegen der missverständlichen Erwägung des Obergerichts - und der ebenfalls missverständlichen Bezeichnung auf der Kostenrechnung - ist die Gebühr von Fr. 7.- zwar durch den erfolglosen Zustellversuch veranlasst, sie bezieht sich jedoch nicht auf ihn (d.h. den ersten, durch Art. 16 Abs. 1 GebV SchKG abgedeckten) Zustellversuch, sondern auf den zweiten, und zwar auch dann, wenn Letzterer erfolgreich gewesen sein sollte. Diese Präzisierung ist insbesondere dann von Bedeutung, wenn der erste Zustellversuch zwar scheitert, BGE 150 III 223 S. 228 es jedoch aus irgendwelchen Gründen (z.B. dem Rückzug der Betreibung), gar nicht zu einem weiteren Zustellversuch kommt. All dies ändert aber nichts daran, dass vorliegend die Gebühr von Fr. 7.- erhoben werden durfte.</w:t>
      </w:r>
    </w:p>
    <w:p>
      <w:r>
        <w:rPr>
          <w:b/>
        </w:rPr>
        <w:t>E. 3.2.3</w:t>
      </w:r>
    </w:p>
    <w:p>
      <w:r>
        <w:t>Der Beschwerdeführer bestreitet sodann die Rechtmässigkeit der Kosten von Fr. 8.- für die Abholungseinladung (Betreibung Nr. x). Das Obergericht begründete die Kosten von Fr. 8.- mit Verweis auf Art. 9 Abs. 1 lit. a GebV SchKG . Das Bundesgericht hatte sich in der Vergangenheit bereits mit den Kosten für eine Abholungseinladung zu befassen. Dabei hat es festgehalten, dass es bundesrechtlich zwar erlaubt ist, zu versuchen, einen Zahlungsbefehl mittels einer Abholungseinladung auf dem Betreibungsamt zuzustellen ( BGE 138 III 25 E. 2.1; Urteile 5A_536/2012 vom 20. März 2013 E. 2.2.1; 5A_715/2013 vom 28. November 2013 E. 2.1; 5A_698/2016 vom 6. Dezember 2016 E. 2.1). Zugleich hat es aber auch festgehalten, dass es dabei nicht um eine gesetzlich vorgeschriebene Amtshandlung geht ( BGE 138 III 25 E. 2.2.3; Urteil 5A_536/2012 vom 20. März 2013 E. 2.3.2). Die Abholungseinladung ist eine blosse Mitteilung, dass der Zahlungsbefehl für den Betriebenen bereit liegt ( BGE 138 III 25 E. 2.1; BGE 136 III 155 E. 3.1). Im Gegensatz zu anderen Anzeigen ist im Gesetz nicht vorgesehen, dass das Betreibungsamt den Schuldner über das Vorliegen eines ausgefertigten, zustellbereiten Zahlungsbefehls benachrichtigen muss ( BGE 138 III 25 E. 2.2.3; Urteil 5A_536/2012 vom 20. März 2013 E. 2.3.2). Der Betriebene ist denn auch nicht verpflichtet, den Zahlungsbefehl auf dem Betreibungsamt entgegenzunehmen ( BGE 138 III 25 E. 2.1; BGE 136 III 155 E. 3.1; Urteile 5A_ 715/2013 vom 28. November 2013 E. 2.1; 5A_698/2016 vom 6. Dezember 2016 E. 2.1). Für nicht vorgeschriebene Amtshandlungen besteht jedoch keine Kostenpflicht (vgl. BGE 138 III 25 E. 2.2.3; BGE 136 III 155 E. 3.3.4; FRANK EMMEL, in: Basler Kommentar, Bundesgesetz über Schuldbetreibung und Konkurs, Bd. I, 3. Aufl. 2021, N. 20 zu Art. 68 SchKG ). In der Folge hat das Bundesgericht festgehalten, dass die Abholungseinladung nicht kostenpflichtig ist, und zwar dürfen weder Auslagen nach Art. 13 Abs. 1 GebV SchKG noch eine Gebühr nach Art. 9 GebV SchKG in Rechnung gestellt werden ( BGE 138 III 25 E. 2.2.3; Urteile 5A_536/2012 vom 20. März 2013 E. 2.3.2 und 2.4.2; 5A_426/2013 vom 14. Oktober 2013 E. 2.1). Dabei hat das Bundesgericht zur Kenntnis genommen, dass die Ausstellung von Abholungseinladungen für Zahlungsbefehle eine BGE 150 III 223 S. 229 inzwischen weit verbreitete Praxis darstellt. Alleine dieser Umstand schafft jedoch keine Kostenpflicht ( BGE 138 III 25 E. 2.2.3). Sodann mag die Ausstellung von Abholungseinladungen zweckmässig sein. Allerdings ist zu bedenken, dass die Rechtsstellung des betreibenden Gläubigers dadurch beeinträchtigt werden kann, denn mit einer Fristansetzung zur Abholung entscheidet das Betreibungsamt, während einer bestimmten Zeit keine der Vorkehren nach Art. 72 Abs. 1 SchKG zu treffen ( BGE 138 III 25 E. 2.2.3; Urteil 5A_268/2007 vom 16. August 2007 E. 3, in: BlSchK 2008 S. 130). Auch die Zweckmässigkeit macht aus der Abholungseinladung keine vorgeschriebene Amtshandlung und schafft auch keine Grundlage für die Kostenpflicht (Urteil 5A_536/2012 vom 20. März 2013 E. 2.4.2; Urteil des Obergerichts des Kantons Zürich [PS120099-O/U] vom 29. Juni 2012 E. 3.5). Wie gesagt hat das Obergericht die gesetzliche Grundlage, um für eine Abholungseinladung Kosten zu verrechnen, in Art. 9 Abs. 1 lit. a GebV SchKG gesehen. Dies ist nach dem Gesagten bundesrechtswidrig. Allerdings ist seit 1. Januar 2022 Art. 10 bis GebV SchKG in Kraft. Diese Norm sieht eine Gebühr von Fr. 8.-für die Abholungseinladung vor, wenn mindestens einmal erfolglos versucht wurde, dem Schuldner einen Zahlungsbefehl, eine Pfändungsankündigung oder eine Konkursandrohung zuzustellen und er daraufhin schriftlich aufgefordert wird, das Dokument persönlich auf dem Betreibungsamt abzuholen. Die neue Norm von Art. 10 bis GebV SchKG ändert nichts daran, dass die Ausstellung einer Abholungseinladung für den Zahlungsbefehl nach wie vor keine Amtshandlung ist, die dem Betreibungsamt vorgeschrieben ist, und sie ändert auch nichts daran, dass eine Kostenüberwälzung grundsätzlich einzig für vorgeschriebene Vorkehren in Betracht fällt. Die GebV SchKG stützt sich auf Art. 16 SchKG . Nach Art. 16 Abs. 1 SchKG legt der Bundesrat den Gebührentarif fest. Diese Delegation beinhaltet nicht die Kompetenz, dem Betreibungsamt eine bestimmte Handlung vorzuschreiben. Die GebV SchKG ist dafür auch nicht der richtige Ort, denn ihrem Zweck nach regelt sie nicht die Verrichtungen des Betreibungsamtes, sondern bloss die für solche Verrichtungen zu erhebenden Kosten ( Art. 1 GebV SchKG ). Ausserdem ist sie nicht der Ort, um allfällige Eingriffe in die Rechtsstellung des Gläubigers zu legitimieren (vgl. vorstehender Absatz). Im Rahmen der Vernehmlassung zur Revision der Gebührenverordnung wurde denn auch von einzelnen BGE 150 III 223 S. 230 Teilnehmern bezweifelt, dass Art. 13 Abs. 2 bis des Entwurfs, der in den hierinteressierenden Punkten dem geltenden Art. 10 bis GebV SchKGentspricht, eine genügende gesetzliche Grundlage für eine Kostenpflicht bzw. diese Zustellform darstellt (vgl. den Bericht vom 28. April2021 des Bundesamtes für Justiz über das Ergebnis desVernehmlassungsverfahrens, S. 6 mit Hinweisen, www.fedlex.admin.chunter Abgeschlossene Vernehmlassungen, 2018, EJPD). Im Übrigen vermag Art. 10 bis GebV SchKG auch nichts daran zu ändern, dass ein Schuldner nicht verpflichtet ist, einer Einladung zurAbholung eines Zahlungsbefehls Folge zu leisten. Folgt er der Einladungnicht, wie dies seinem Recht entspricht, würde er im Hinblick auf die Kosten jedoch schlechter gestellt als ein Schuldner, derder Einladung folgt, denn er hätte nicht nur die ungenutzte Abholungseinladung zu bezahlen, sondern auch den nächsten Zustellversuch. Damit würde ein indirekter Druck aufgebaut, trotz gegenteiliger gesetzlicher Ausgangslage der Abholungseinladung zu folgen. Es besteht demnach nach wie vor keine genügende Grundlage, um für die Einladung zur Abholung eines Zahlungsbefehls Kosten in Rechnung zu stellen. Der entsprechende Posten in der Kostenabrechnung der Betreibung Nr. x bzw. die für die Abholungseinladung erhobene Gebühr von Fr. 8.- ist zu streichen.</w:t>
      </w:r>
    </w:p>
    <w:p>
      <w:r>
        <w:rPr>
          <w:b/>
        </w:rPr>
        <w:t>E. 3.3.1</w:t>
      </w:r>
    </w:p>
    <w:p>
      <w:r>
        <w:t>Der Beschwerdeführer wendet sich sodann dagegen, dass das Betreibungsamt für die beiden Pfändungsankündigungen je Fr. 22.40 verrechnet hat, was vom Obergericht geschützt worden ist. Er macht geltend, die Kosten einer Pfändung betrügen Fr. 25.- gemäss Art. 20 GebV SchKG . Zum Vollzug der Pfändung diene auch ihre Ankündigung. Art. 20 GebV SchKG regelt gemäss seiner Marginalie den "Vollzug der Pfändung" ("Exécution de la saisie", "Esecuzione del pignoramento"). Gemäss Art. 20 Abs. 1 GebV SchKG betrifft die vom Beschwerdeführer angesprochene Pauschalgebühr den "Vollzug einer Pfändung, einschliesslich Abfassung der Pfändungsurkunde". Auch Art. 20 Abs. 2 und Abs. 3 GebV SchKG befassen sich mit dem Vollzug der Pfändung. Einzig Art. 20 Abs. 4 GebV SchKG spricht eine Handlung des Betreibungsamts im Vorfeld des Pfändungsvollzugs an, nämlich die Protokollierung des Fortsetzungsbegehrens, und regelt die dafür zu erhebende Gebühr für den Fall, dass es gar nicht zu einer Pfändung kommt. Die Pfändungsankündigung BGE 150 III 223 S. 231 wird in der GebV SchKG ausdrücklich im bereits erwähnten Art. 10 bis , d.h. im Zusammenhang mit der Abholungseinladung (vgl. oben E. 3.2.3), und in Art. 13 Abs. 4 GebV SchKG , d.h. im Zusammenhang mit den Auslagen für besondere Zustelldienste der Post, erwähnt. Im SchKG ist die Pfändungsankündigung ( Art. 90 SchKG ) demgegenüber im Abschnitt über den Vollzug der Pfändung (Marginalie "A. Vollzug" zu Art. 89-95a SchKG ) eingeordnet. Das Bundesgericht hat bereits festgehalten, dass für den Erlass einer Pfändungsankündigung die Schreibgebühr nach Art. 9 Abs. 1 GebV SchKG und die Portoauslagen nach Art. 13 Abs. 1 GebV SchKG verrechnet werden können (Urteil 5A_587/2017 vom 12. Dezember 2017 E. 4.3), ohne allerdings das Verhältnis der Pfändungsankündigung zu Art. 20 GebV SchKG ausdrücklich zu behandeln. In der Literatur wird die Auffassung vertreten, die Pfändungsankündigung gehöre begrifflich nicht zum Vollzug und könne daher separat abgerechnet werden (REINHARD BOESCH, in: Kommentar SchKG/Gebührenverordnung, 2008, N. 3 zu Art. 20 GebV SchKG ). Dieser Ansicht ist zu folgen. Die Pfändungsankündigung mag im SchKG systematisch im Abschnitt zum Pfändungsvollzug geregelt sein. Sie ist jedoch vom eigentlichen Vollzug der Pfändung zu unterscheiden. Sie ist diesem vorgelagert und dient dem Schutz des Schuldners, der später beim Pfändungsvollzug auf eine möglichst schonende Durchführung desselben hinwirken können soll ( BGE 115 III 41 E. 1). In Art. 20 GebV SchKG ist vom "Vollzug der Pfändung" die Rede und nicht in allgemeiner Weise von der Pfändung, so dass davon auszugehen ist, dass damit nur der eigentliche Vollzug gemeint ist. Dieser eigentliche Vollzug kann eine Vielzahl verschiedener Massnahmen nötig machen, die nur schwer einzeln tarifiert werden könnten, dies im Gegensatz zur Pfändungsankündigung, die mit dem Formular Nr. 5 erfolgt. Würde die Pauschalgebühr von Art. 20 Abs. 1 GebV SchKG sodann bereits mit bzw. aufgrund der Pfändungsankündigung erhoben, entstünde das zusätzliche Problem, was in Fällen zu gelten hat, in denen es nach einer Pfändungsankündigung gar nie zu einer Pfändung kommt, da die Forderung beglichen, das Fortsetzungsbegehren zurückgezogen oder die Betreibung eingestellt oder aufgehoben wird. Es kann nicht die Absicht des Verordnungsgebers gewesen sein, dass diesfalls dennoch die gesamte Pauschalgebühr von Art. 20 Abs. 1 GebV SchKG erhoben werden kann, obschon der dadurch abzugeltende Aufwand beim eigentlichen Vollzug gar nie angefallen ist. Auch Art. 20 Abs. 4 GebV SchKG BGE 150 III 223 S. 232 würde dieser Situation nicht Rechnung tragen: Diese Norm erwähnt die Pfändungsankündigung nicht. Bei der vom Beschwerdeführer behaupteten Rechtslage würde Art. 20 Abs. 4 GebV SchKG sogar weitgehend bedeutungslos werden, da sich diese Norm nur noch auf den kurzen Zeitraum zwischen Fortsetzungsbegehren und Pfändungsankündigung (vgl. Art. 89 und 90 SchKG ) beziehen würde. Es erscheint auch nicht plausibel, dass der Verordnungsgeber für den Fall, dass der eigentliche Pfändungsvollzug unterbleibt, zwar die Gebühr für die Protokollierung des Fortsetzungsbegehrens, nicht aber für die erfolgte Pfändungsankündigung hätte regeln wollen. Art. 20 Abs. 1 GebV SchKG muss demnach dahingehend verstanden werden, dass die Pfändungsankündigung darin gerade nicht geregelt ist. Es ist folglich nicht zu beanstanden, dass die Pfändungsankündigungen separat in Rechnung gestellt wurden.</w:t>
      </w:r>
    </w:p>
    <w:p>
      <w:r>
        <w:rPr>
          <w:b/>
        </w:rPr>
        <w:t>E. 3.3.2</w:t>
      </w:r>
    </w:p>
    <w:p>
      <w:r>
        <w:t>Gemäss den Erwägungen des Obergerichts setzen sich die Kosten für die Pfändungsankündigungen zunächst zusammen aus den Kosten für die Zustellung mittels eingeschriebener Post, nämlich einer Gebühr von je Fr. 8.- für die Ausfertigung gemäss Art. 9 Abs. 1 lit. a GebV SchKG und der Posttaxe von je Fr. 5.30 gemäss Art. 13 Abs. 1 GebV SchKG . Diese Posten werden vom Beschwerdeführer - abgesehen vom soeben behandelten grundsätzlichen Einwand (oben E. 3.3.1) - nicht bestritten. Das Obergericht hat weiter erwogen, nach der Praxis des Betreibungsamtes Zug werde die Pfändungsankündigung zusätzlich per A-Post versandt, weil die eingeschriebene Post häufig nicht abgeholt werde. Vorliegend habe der Zahlungsbefehl in der Betreibung Nr. x erneut zugestellt werden müssen, weshalb ein zusätzlicher Versand der "Pfändungsankündigung" (gemeint offensichtlich: beider Pfändungsankündigungen) per A-Post angebracht gewesen sei. Entsprechend falle eine weitere Gebühr von je Fr. 8.- sowie die Posttaxe von je Fr. 1.10 für den Versand per A-Post an. Der Beschwerdeführer bemängelt, dass der Versand mit A-Post gesetzlich nicht vorgesehen sei, womit es an einer gesetzlichen Grundlage fehle. Die Pfändungsankündigung ist keine Betreibungsurkunde, die nach Art. 64 SchKG zugestellt werden muss, wie dies etwa beim Zahlungsbefehl der Fall ist, sondern eine Verfügung, die nach Art. 34 f. SchKG zuzustellen ist (Urteil 5A_590/2020 vom 12. April 2021 BGE 150 III 223 S. 233 E. 3.1 und 3.4 mit Hinweisen, in: SZZP 2021 S. 369). Gemäss Art. 34 Abs. 1 SchKG erfolgt die Zustellung von Mitteilungen, Verfügungen und Entscheiden der Betreibungs- und Konkursämter sowie der Aufsichtsbehörden durch eingeschriebene Postsendung oder auf andere Weise gegen Empfangsbestätigung, sofern dieses Gesetz nichts anderes bestimmt. Die Zustellung mit A-Post ist keine Zustellung gegen Empfangsbestätigung. Auch bei der - vorliegend nicht in Frage stehenden, jedoch im Vergleich zur blossen A-Post qualifizierteren - Zustellung mit A-Post Plus gibt es keine Empfangsbestätigung, weshalb selbst diese Zustellungsart die Anforderungen von Art. 34 Abs. 1 SchKG nicht erfüllt ( BGE 142 III 599 E. 2.2 und E. 2.4.2). Zwar handelt es sich bei Art. 34 SchKG um eine Ordnungsvorschrift, die der Beweissicherung dient ( BGE 121 III 11 E. 1; Urteile 5A_590/2020 vom 12. April 2021 E. 3.1; 5A_545/2016 vom 23. Dezember 2016 E. 2.3). Dies ändert jedoch nichts daran, dass eine Zustellung der Pfändungsankündigung mit A-Post im SchKG gerade nicht vorgesehen und dem Betreibungsamt insbesondere nicht vorgeschrieben ist (vgl. oben E. 3.2.3). Erst recht besteht keine Vorschrift dahingehend, dass das Betreibungsamt die Pfändungsankündigung doppelt ausfertigen und ein Exemplar per Einschreiben und das andere gleichzeitig per A-Post verschicken muss. Dies entspricht jedoch offenbar der Praxis des Betreibungsamts Zug. Das Betreibungsamt Zug wartet mit anderen Worten demnach gar nicht ab, ob die vorgeschriebene Zustellung mit Einschreiben erfolgreich ist oder nicht, sondern erstellt und verschickt die Pfändungsankündigung von vornherein doppelt, einmal per Einschreiben und einmal per A-Post. Das Betreibungsamt beruft sich zur Rechtfertigung dieser Praxis auf die Zweckmässigkeit, da rund 70 % der mit Einschreiben versandten Pfändungsankündigungen nicht zugestellt werden könnten und nach der Abholfrist retourniert würden. Auch für die Pfändungsankündigung gilt jedoch, dass die blosse Zweckmässigkeit einer Handlung noch keine Grundlage dafür schafft, dass die dabei anfallenden Kosten in Rechnung gestellt werden dürfen. Art. 9 und Art. 13 GebV SchKG stellen dafür keine genügende Grundlage dar (vgl. oben E. 3.2.3). Soweit der Empfänger die eingeschriebene Sendung in Empfang nimmt, stellen die zusätzliche Ausfertigung und der zusätzliche Versand mit A-Post zudem nicht nur keine vorgeschriebene, sondern sogar eine unnötige Handlung dar, wofür ebenfalls keine Kostenpflicht besteht (EMMEL, a.a.O., N. 20 zu Art. 68 SchKG ). Vorliegend bestehen keine Sachverhaltsfeststellungen dazu, ob der Beschwerdeführer die eingeschrieben versandten BGE 150 III 223 S. 234 Pfändungsankündigungen entgegengenommen hat. Solche Feststellungen sind jedoch entbehrlich, denn selbst wenn er sie nicht entgegengenommen hätte, stellt der Versand mit A-Post - wie gesagt - keine vorgeschriebene Handlung dar und ist damit nicht kostenpflichtig. In beiden Betreibungen sind demnach die in Rechnung gestellten Kosten für den Versand von Pfändungsankündigungen mit A-Post (je Fr. 8.- Gebühren und je Fr. 1.10 Auslagen) zu streichen. Nach Abzug von je Fr. 9.10 dürfen für die Pfändungsankündigungen demnach nur je Fr. 13.30 in Rechnung gestellt werden.</w:t>
      </w:r>
    </w:p>
    <w:p>
      <w:r>
        <w:rPr>
          <w:b/>
        </w:rPr>
        <w:t>E. 3.4</w:t>
      </w:r>
    </w:p>
    <w:p>
      <w:r>
        <w:t>Der Beschwerdeführer bestreitet sodann, dass ihm die Kosten für die Verlustscheine gesondert in Rechnung gestellt werden dürften. Nach Art. 115 SchKG sei nach einer fruchtlosen Pfändung ein Verlustschein auszustellen. Die Pfändung sei jedoch in Art. 20 GebV SchKG gesondert tarifiert. Dafür seien bereits Fr. 12.50 veranschlagt worden, die er nicht beanstande. Die Kosten für den Verlustschein dürften nicht dazugeschlagen werden. Das Obergericht hat erwogen, bei einer fruchtlosen Pfändung sei ein Verlustschein nach Art. 115 SchKG auszustellen. Nach Art. 9 Abs. 1 lit. a GebV SchKG könne für die Ausstellung eine Gebühr von je Fr. 8.- erhoben werden. Hinzu kämen die Auslagen für die Posttaxen gemäss Art. 13 Abs. 1 GebV SchKG (Fr. 5.30 für das Einschreiben an die Gläubiger und Fr. 1.10 für die A-Post an den Schuldner). Die Kosten für die den Gläubigern zugestellten Verlustscheine von je Fr. 13.30 und für die dem Beschwerdeführer zugestellten Verlustscheine von je Fr. 9.10 seien nicht zu beanstanden. Gemäss Art. 115 Abs. 1 SchKG bildet die Pfändungsurkunde den Verlustschein im Sinne von Art. 149 SchKG , wenn kein pfändbares Vermögen vorhanden war. Die Pfändungsurkunde ist demnach der Verlustschein; die Ausstellung einer anderen Urkunde ist weder erforderlich noch zulässig ( BGE 61 III 8 ; INGRID JENT-SØRENSEN, in: Basler Kommentar, Bundesgesetz über Schuldbetreibung und Konkurs, Bd. I, 3. Aufl. 2021, N. 3 zu Art. 115 SchKG ). Art. 20 GebV SchKG regelt sodann gemäss seinem Abs. 1 die Gebühr für den Vollzug einer Pfändung, einschliesslich Abfassung der Pfändungsurkunde. Art. 20 Abs. 2 Satz 1 GebV SchKG enthält dabei für den Fall einer fruchtlosen Pfändung eine im Vergleich zu Abs. 1 herabgesetzte Gebühr. Da im Fall einer fruchtlosen Pfändung die Pfändungsurkunde den Verlustschein darstellt, gilt Art. 20 GebV SchKG BGE 150 III 223 S. 235 auch für Letzteren. Allerdings bezieht sich Art. 20 Abs. 1 GebV SchKG nur auf die Abfassung der Pfändungsurkunde für das Amt gemäss Art. 112 SchKG . Davon zu unterscheiden sind die Abschriften der Pfändungsurkunde für den Schuldner und die Gläubiger gemäss Art. 114 SchKG . Die Gebühren für diese Abschriften werden in Art. 24 GebV SchKG geregelt, der auf Art. 9 Abs. 1 GebV SchKG verweist (zum Ganzen: Urteil 5A_878/2013 vom 16. Dezember 2013 E. 2.2). Die Gebühren für die Abschriften von jeweils Fr. 8.- gemäss Art. 9 Abs. 1 lit. a GebV SchKG sind demnach nicht zu beanstanden. Zu den soeben behandelten Gebühren kommen die Auslagen für die Post gemäss Art. 13 Abs. 1 GebV SchKG hinzu. Die Auslagen von jeweils Fr. 5.30 für den Versand der Verlustscheine per Einschreiben an die Gläubiger werden vom Beschwerdeführer nicht beanstandet. Hingegen kritisiert er auch im vorliegenden Zusammenhang, dass ihm die Verlustscheine per A-Post zugestellt worden sind bzw. ihm dafür Kosten von jeweils Fr. 1.10 auferlegt wurden. Die Abschriften von Pfändungsurkunden sind gemäss Art. 34 Abs. 1 SchKG durch Einschreiben oder auf andere Weise gegen Empfangsbestätigung zuzustellen ( BGE 54 III 246 E. 1; JENT-SØRENSEN, a.a.O., N. 18 zu Art. 112 SchKG ). Insbesondere enthält Art. 114 SchKG keine davon abweichende Vorschrift. Die Zustellung mit A-Post ist demnach nicht vorgesehen. Es kann auf das im Zusammenhang mit der Pfändungsankündigung zur Zustellung mit A-Post Gesagte verwiesen werden (oben E. 3.3.2). Folglich können die entsprechenden Auslagen nicht auf den Beschwerdeführer überwälzt werden. Daran ändert nichts, dass er bei korrekter Zustellung die höheren Kosten von Fr. 5.30 für eine eingeschriebene Sendung hätte tragen müssen, denn eine solche Zustellung hat nicht stattgefunden und es können keine Kosten für Amtshandlungen erhoben werden, die nicht vorgenommen wurden (EMMEL, a.a.O., N. 20 zu Art. 68 SchKG ). In den beiden Betreibungen sind die Kosten für die beiden Abschriften der Verlustscheine für den Beschwerdeführer (Schuldner) demnach um je Fr. 1.10 zu reduzieren, so dass er noch je Fr. 8.- zu bezahlen hat.</w:t>
      </w:r>
    </w:p>
    <w:p>
      <w:r>
        <w:rPr>
          <w:b/>
        </w:rPr>
        <w:t>E. 3.5.1</w:t>
      </w:r>
    </w:p>
    <w:p>
      <w:r>
        <w:t>Der Beschwerdeführer kritisiert sodann die Wegentschädigungen. Zunächst macht er geltend, das Obergericht habe seine Ausführungen zu Art. 15 GebV SchKG nicht gewürdigt, womit es das BGE 150 III 223 S. 236 rechtliche Gehör verletzt habe. Das Betreibungsamt habe zugestanden, an diesem Tag nicht nur beim Beschwerdeführer, sondern auch an einem anderen Ort in U. gewesen zu sein. Er habe am 14. März 2023 das Obergericht zur Edition aufgefordert, wo der Betreibungsbeamte überall gewesen sei. Am 22. März 2023 habe er angezeigt, dass Art. 15 GebV SchKG zur Anwendung komme, wenn das Betreibungsamt mehrere Geschäfte an einem Tag erbracht habe, wie es dies in seiner Stellungnahme verbindlich zugestehe. Der Sachverhalt sei entscheidrelevant, könne vom Bundesgericht aber nicht frei ergänzt werden. Die Zeugenaussagen fehlten. Es könne nicht gesagt werden, zu welchen Teilen der Weg gemäss Art. 15 GebV SchKG auf andere Betreibungen und wie viele Betreibungen aufgeschlüsselt werden müsse, womit der Entscheid zur Sachverhaltsergänzung an das Obergericht zurückzuweisen sei. Art. 15 Abs. 1 GebV SchKG sieht vor, dass mehrere Verrichtungen soweit möglich miteinander zu besorgen sind und die Wegentschädigung auf die verschiedenen Verrichtungen zu gleichen Teilen umzulegen ist. Art. 15 GebV SchKG ist demnach für die dem Beschwerdeführer gestützt auf Art. 14 GebV SchKG auferlegte Wegentschädigung von Bedeutung, wenn das Betreibungsamt zugleich auch andere Verrichtungen vorgenommen haben sollte. Wie ohne Weiteres anhand der kantonalen Akten festgestellt werden kann ( Art. 105 Abs. 2 BGG ), hat das Betreibungsamt in seiner Stellungnahme vom 17. März 2023 zugestanden, dass der Vollzugsbeamte an jenem Tag die Zustellung eines Zahlungsbefehls für einen anderen Schuldner mit dem Pfändungsvollzug beim Beschwerdeführer verbunden hat. Ebenso ergibt sich aus den Akten, dass sich der Beschwerdeführer am 22. März 2023 zu Art. 15 GebV SchKG geäussert hat und er am 14. März 2023 die Edition von Wegaufzeichnungen verlangt hat. Der Beschwerdeführer rügt eine Verletzung des rechtlichen Gehörs. Das rechtliche Gehör ( Art. 29 Abs. 2 BV ) verlangt, dass das Gericht die Vorbringen des vom Entscheid in seiner Rechtsstellung Betroffenen tatsächlich hört, prüft und in der Entscheidfindung berücksichtigt ( BGE 146 II 335 E. 5.1; BGE 136 I 229 E. 5.2). Das Obergericht hat sich jedoch mit keinem Wort zu den Vorbringen der Beteiligten zu Art. 15 GebV SchKG und zu den in diesem Zusammenhang massgeblichen Umständen geäussert, obschon sie für die Anwendung von Art. 14 GebV SchKG von Bedeutung sein könnten. Das Obergericht hat sich auch nicht dazu geäussert, weshalb es die BGE 150 III 223 S. 237 entsprechenden Vorbringen nicht berücksichtigt hat. Insbesondere hat es die Vorbringen und den Editionsantrag nicht als verfahrensrechtlich unzulässig bezeichnet. Dadurch hat es das rechtliche Gehör verletzt und den angefochtenen Entscheid mangelhaft begründet. Eine Heilung der Gehörsverletzung im bundesgerichtlichen Verfahren fällt ausser Betracht. Einerseits geht es um Sachverhaltsfeststellungen, andererseits könnte die Anwendung des kantonalen Verfahrensrechts in Frage stehen ( Art. 20a Abs. 3 SchKG ), wobei jedoch zu beachten ist, dass die Aufsichtsbehörde den Sachverhalt von Amtes wegen feststellen ( Art. 20a Abs. 2 Ziff. 2 SchKG ) und die Anwendung der GebV SchKG überwachen muss ( Art. 2 GebV SchKG ). In diesem Punkt ist die Angelegenheit demnach zu neuem Entscheid an das Obergericht zurückzuweisen.</w:t>
      </w:r>
    </w:p>
    <w:p>
      <w:r>
        <w:rPr>
          <w:b/>
        </w:rPr>
        <w:t>E. 3.5.2</w:t>
      </w:r>
    </w:p>
    <w:p>
      <w:r>
        <w:t>Im Zusammenhang mit Art. 14 GebV SchKG macht der Beschwerdeführer ausserdem geltend, es sei der kürzeste Weg zu entschädigen und sicher nicht pauschal der Weg über den Dorfkern. Damit sei der Weg pro Strecke um mindestens 500 Meter zu reduzieren. Das Obergericht hat diesbezüglich erwogen, das Betreibungsamt sei für die Berechnung der Wegentschädigung von einer Strecke vom Betreibungsamt zum Wohnort des Beschwerdeführers von 13,7 Kilometern ausgegangen. Diese Angabe entspreche derjenigen des Beschwerdeführers in der Beschwerde und sei - entgegen seiner abweichenden Darstellung in der Replik vom 14. März 2023 - zutreffend, wenn man via Dorfkern von U. fahre. Indem der Beschwerdeführer geltend macht, die für die Entschädigung vom Obergericht berücksichtigte Strecke sei insgesamt um mindestens einen Kilometer zu lang, schildert er einzig den Sachverhalt aus seiner Sicht. Er zeigt nicht auf, dass es eine kürzere Strecke gegeben hätte, die der Betreibungsbeamte hätte benutzen können. Die Behauptung, es hätte mindestens ein Kilometer Distanz eingespart werden können, bleibt unbelegt. Auf die ungenügend begründete Rüge ist demnach nicht einzutreten (vgl. nicht publ.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