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219</w:t>
      </w:r>
    </w:p>
    <w:p>
      <w:r>
        <w:t>Bundesgericht (BGE), 2024-03-07, DE</w:t>
      </w:r>
    </w:p>
    <w:p>
      <w:r>
        <w:rPr>
          <w:b/>
        </w:rPr>
        <w:t xml:space="preserve">Quelle: </w:t>
      </w:r>
      <w:r>
        <w:t>https://mcp.opencaselaw.ch/entscheid/bge_BGE_150_III_219</w:t>
      </w:r>
    </w:p>
    <w:p>
      <w:r>
        <w:t>FR: ATF 150 III 219</w:t>
      </w:r>
    </w:p>
    <w:p>
      <w:r>
        <w:t>IT: DTF 150 III 219</w:t>
      </w:r>
    </w:p>
    <w:p>
      <w:pPr>
        <w:pStyle w:val="Heading2"/>
      </w:pPr>
      <w:r>
        <w:t>Regeste</w:t>
      </w:r>
    </w:p>
    <w:p>
      <w:r>
        <w:t>Regeste Art. 116 Abs. 1 SchKG; Art. 9 Abs. 2 und 3 VFRR; Bedeutung der Minimalfrist zur Stellung des Verwertungsbegehrens. Bei der Regelung von Art. 9 Abs. 2 und 3 VFRR handelt es sich um eine blosse Ordnungsvorschrift. Weist das Betreibungsamt ein mehr als zwei Tage zu früh eingetroffenes Verwertungsbegehren nicht zurück, hat dies auf die Gültigkeit der nachfolgenden Amtshandlungen keinen Einfluss, sofern es ihm erst nach Ablauf der Minimalfrist Folge leistet (E. 3).</w:t>
      </w:r>
    </w:p>
    <w:p>
      <w:r>
        <w:t>Regeste Art. 116 al. 1 LP; art. 9 al. 2 et 3 Oform; importance du délai minimal pour déposer la réquisition de réalisation. La réglementation de l'art. 9 al. 2 et 3 Oform est une simple prescription d'ordre. Si l'office des poursuites ne rejette pas une réquisition de vente parvenue plus de deux jours trop tôt, cela n'a aucune influence sur la validité des actes officiels suivants, pour autant qu'il n'y donne suite qu'après l'expiration du délai minimal (consid. 3).</w:t>
      </w:r>
    </w:p>
    <w:p>
      <w:r>
        <w:t>Regesto Art. 116 cpv. 1 LEF; art. 9 cpv. 2 e 3 Rform; portata del termine minimo per presentare la domanda di vendita. La regolamentazione dell'art. 9 cpv. 2 e 3 Rform costituisce una semplice prescrizione d'ordine. Se l'ufficio di esecuzione non respinge una domanda di vendita pervenuta con più di due giorni di anticipo, ciò non ha alcun influsso sulla validità degli atti ufficiali successivi, purché vi dia seguito soltanto dopo la scadenza del termine minimo (consid. 3).</w:t>
      </w:r>
    </w:p>
    <w:p>
      <w:pPr>
        <w:pStyle w:val="Heading2"/>
      </w:pPr>
      <w:r>
        <w:t>Erwägungen</w:t>
      </w:r>
    </w:p>
    <w:p>
      <w:r>
        <w:rPr>
          <w:b/>
        </w:rPr>
        <w:t>E. 3.1</w:t>
      </w:r>
    </w:p>
    <w:p>
      <w:r>
        <w:t>Ein Gläubiger kann die Verwertung der gepfändeten beweglichen Vermögensstücke sowie der Forderungen und der anderen Rechte frühestens einen Monat und spätestens ein Jahr, diejenige der gepfändeten Grundstücke frühestens sechs Monate und spätestens zwei Jahre nach der Pfändung verlangen ( Art. 116 Abs. 1 SchKG ). Sowohl die Minimal- als auch die Maximalfristen beginnen mit dem Vollzug der Pfändung ( BGE 115 III 109 E. 2; FREY/STAIBLE, in: BGE 150 III 219 S. 221 Basler Kommentar, Bundesgesetz über Schuldbetreibung und Konkurs, Bd. I, 3. Aufl. 2021, N. 32 zu Art. 116 SchKG ). War der Schuldner - wie vorliegend - bei der Pfändung weder anwesend noch vertreten, so erfolgt der Vollzug erst mit der Zustellung der Pfändungsurkunde an ihn ( BGE 130 III 661 E. 1.2; BGE 112 III 14 E. 5a; Urteile 5A_346/2018 vom 3. September 2018 E. 3.1.1; 7B.47/2006 vom 8. Mai 2006 E. 2.4; FREY/STAIBLE, a.a.O., N. 32 zu Art. 116 SchKG ). Im Gegensatz zur Maximalfrist (s. BGE 69 III 46 S. 50) hat der Gesetzgeber die in Art. 116 Abs. 1 SchKG statuierte Minimalfrist ausschliesslich im Interesse des Schuldners vorgesehen; der Schuldner soll die Möglichkeit haben, den betreibenden Gläubiger aus anderen Quellen zu befriedigen und so die drohende Verwertung abzuwenden (Urteile 5A_753/2014 vom 8. Januar 2015 E. 2.1; 5A_ 43/2010 vom 19. März 2010 E. 3.2). Vorliegend hat die Vorinstanz zutreffend erkannt, dass die Rahmenfrist, innert der das Verwertungsbegehren gestellt werden kann, entgegen dem in der Pfändungsurkunde vom 18. August 2021 angegebenen Zeitrahmen (24. Dezember 2020 bis 24. November 2021) erst am 24. September 2021 zu laufen begann ( Art. 116 Abs. 1 SchKG i.V.m. Art. 31 SchKG und Art. 142 Abs. 1 und 2 ZPO ) und der Betreibungsgläubiger sein Verwertungsbegehren somit etliche Tage vor Ablauf der einmonatigen Wartefrist von Art. 116 Abs. 1 SchKG gestellt hat.</w:t>
      </w:r>
    </w:p>
    <w:p>
      <w:r>
        <w:rPr>
          <w:b/>
        </w:rPr>
        <w:t>E. 3.2</w:t>
      </w:r>
    </w:p>
    <w:p>
      <w:r>
        <w:t>Fortsetzungs- und Verwertungsbegehren, deren Stellung im Zeitpunkt, wo sie beim Betreibungsamt einlangen, gesetzlich noch nicht zulässig ist, werden nicht eingetragen, sondern dem Einsender mit der Bemerkung: "verfrüht, erst am ... zulässig" zurückgeschickt ( Art. 9 Abs. 2 der Verordnung vom 5. Juni 1996 über die im Betreibungs- und Konkursverfahren zu verwendenden Formulare und Register sowie die Rechnungsführung [VFRR; SR 281.31] ). Ausgenommen sind solche Begehren, die höchstens zwei Tage zu früh einlangen. Diese werden gleichwohl entgegengenommen und, wie die andern, in der Reihenfolge des Eingangs eingetragen. Dem Eingangsdatum wird das Datum des Tages beigefügt, von dem an sie zulässig sind und als gestellt gelten ( Art. 9 Abs. 3 VFRR ). Die gleiche Vorschrift enthielt bereits Art. 29 der Verordnung Nr. 1 vom 18. Dezember 1891 zum Bundesgesetz über Schuldbetreibung und Konkurs (BS 3 86). Die Verbindlichkeit dieser an das Betreibungsamt gerichteten Weisung wird in der Lehre sowie der Rechtsprechung bestätigt (vgl. BGE 122 III 130 E. 2b; FREY/STAIBLE, a.a.O., N. 44 zu Art. 116 SchKG ; GILLIÉRON, Poursuite pour dettes, faillite et concordat, 5. Aufl. BGE 150 III 219 S. 222 2012, S. 294 Rz. 1190; WALDER/KULL/KOTTMANN, Bundesgesetz über Schuldbetreibung und Konkurs, Bd. II, 4. Aufl. 1997, N. 10 zu Art. 116 SchKG und N. 2 zu Art. 88 SchKG ). Um die mit Art. 9 Abs. 2 und 3 VFRR angestrebte rechtsgleiche Behandlung verfrühter Fortsetzungs- und Verwertungsbegehren zu gewährleisten, ist den kantonalen Aufsichtsbehörden zu empfehlen, den Betreibungsämtern die vorstehend dargelegten Grundsätze in geeigneter Form in Erinnerung zu rufen (vgl. PETER, Inspektion des Betreibungsamtes - ein paar Anregungen, BlSchK 2019 S. 189 ff.).</w:t>
      </w:r>
    </w:p>
    <w:p>
      <w:r>
        <w:rPr>
          <w:b/>
        </w:rPr>
        <w:t>E. 3.3</w:t>
      </w:r>
    </w:p>
    <w:p>
      <w:r>
        <w:t>Das Vorbringen des Beschwerdeführers, ein verfrüht gestelltes Verwertungsbegehren sei unwirksam (vgl. auch RÜETSCHI, in: SchKG, 2. Aufl. 2014, N. 37 zu Art. 116 SchKG ; STUDER/ZÖBELI, Schuldbetreibungs- und Konkursrecht, 6. Aufl. 2023, S. 129), trifft nach dem Gesagten insofern zu, als das Betreibungsamt seit je her angewiesen ist, dem Gläubiger ein mehr als zwei Tage zu früh eingetroffenes Verwertungsbegehren zurückzusenden. Indes haben die Vorinstanzen richtig erkannt, dass die in Art. 116 Abs. 1 SchKG statuierte Minimalfrist für den Schuldner nicht hinsichtlich des Zeitpunkts des Verwertungsbegehrens, sondern des weiteren Fortgangs des Betreibungsverfahrens von zentraler Bedeutung ist (zit. Urteil 5A_43/ 2010 E. 3.2). Weist das Betreibungsamt ein mehr als zwei Tage zu früh eingetroffenes Verwertungsbegehren vorschriftswidrig nicht zurück, sondern leistet es ihm bloss einstweilen keine Folge, bis es gestellt werden könnte, besteht daher kein Anlass, die folgenden Amtshandlungen als ungültig zu betrachten. Die Situation verhält sich hier nicht anders, als im Falle eines vorzeitigen Fortsetzungsbegehrens ( Art. 88 SchKG ). Diesbezüglich hat das Bundesgericht entschieden, dass dann, wenn das Betreibungsamt ein verfrühtes Fortsetzungsbegehren zwar nicht zurückgewiesen, aber diesem immerhin einstweilen keine Folge geleistet hat, keine Verletzung von Art. 159 SchKG vorliegt und die zur gesetzlichen Zeit erfolgte Konkursandrohung (auch auf rechtzeitige Beschwerde nach Art. 17 SchKG hin) nicht aufzuheben ist (Urteil B.200/1990 vom 30. November 1990 E. 3, in: Repertorio di giurisprudenza patria 1991 S. 386). Im Ergebnis ist den Vorinstanzen daher darin beizupflichten, dass es sich bei der Vorschrift von Art. 9 Abs. 2 und 3 VFRR (ebenso wie bei der vorstehend genannten Vorgängernorm) um eine blosse Ordnungsvorschrift handelt, deren Missachtung keinen Einfluss auf die Gültigkeit der nachfolgenden Amtshandlungen hat, es sei denn, das Betreibungsamt hätte das Betreibungsverfahren gestützt auf ein BGE 150 III 219 S. 223 vorzeitiges Fortsetzungs- oder Verwertungsbegehren selbst frühzeitig vorangetrieben. Hiervon aber kann im vorliegend zu beurteilenden Fall keine Rede sein. Das Betreibungsamt hat nach Eingang des Verwertungsbegehrens nämlich unbestrittenermassen über ein Jahr zugewartet und dem Beschwerdeführer standen statt der gesetzlichen Schonfrist von einem Monat rund vierzehn Monate zur Verfügung, um die in Betreibung gesetzte Forderung (zuzüglich Kosten) doch noch aus eigenem Antrieb zu begleichen. Eine Verletzung von Art. 116 Abs. 1 SchKG ist damit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