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160</w:t>
      </w:r>
    </w:p>
    <w:p>
      <w:r>
        <w:t>Bundesgericht (BGE), 2024-03-18, DE</w:t>
      </w:r>
    </w:p>
    <w:p>
      <w:r>
        <w:rPr>
          <w:b/>
        </w:rPr>
        <w:t xml:space="preserve">Quelle: </w:t>
      </w:r>
      <w:r>
        <w:t>https://mcp.opencaselaw.ch/entscheid/bge_BGE_150_III_160</w:t>
      </w:r>
    </w:p>
    <w:p>
      <w:r>
        <w:t>FR: ATF 150 III 160</w:t>
      </w:r>
    </w:p>
    <w:p>
      <w:r>
        <w:t>IT: DTF 150 III 160</w:t>
      </w:r>
    </w:p>
    <w:p>
      <w:pPr>
        <w:pStyle w:val="Heading2"/>
      </w:pPr>
      <w:r>
        <w:t>Regeste</w:t>
      </w:r>
    </w:p>
    <w:p>
      <w:r>
        <w:t>Regeste Art. 457 und 522 ZGB, Art. 13a Abs. 1 SchlT ZGB; Art. 8 i.V.m. Art. 14 EMRK; Zahlvaterschaft und Aktivlegitimation zur Erhebung einer Herabsetzungsklage. Die Frage, wer Nachkomme ist, entscheidet das Familienrecht. Vorausgesetzt ist ein rechtliches Kindesverhältnis (E. 4.4). Ein solches begründete die altrechtliche Zahlvaterschaft nicht (E. 4.5.1 und 7). Sie wurde mit Inkrafttreten des neuen Kindesrechts auch nicht ipso iure in ein rechtliches Kindesverhältnis umgewandelt (E. 4.6.1), was im Hinblick auf die Europäische Menschenrechtskonvention nicht zu beanstanden ist (E. 8). Frage offengelassen, ob die Übergangsbestimmung von Art. 13a SchlT ZGB konventionswidrige Elemente enthält (E. 8). Bei der Vaterschaftsklage handelt es sich um eine Gestaltungsklage. Deren Wirkungen können nicht im Rahmen der Beantwortung von (rechtlichen) Vorfragen (hier: Aktivlegitimation zur Erhebung einer Herabsetzungsklage) herbeigeführt werden, sondern nur mittels der im Gesetz hierfür vorgesehenen Mittel (E. 7.2). Dazu hätte der Beschwerdeführer eine Vaterschaftsklage erheben können und müssen (E. 4.6.2 und 7.4.1). Er kann sich nicht darauf berufen, aufgrund der angeblichen Konventionswidrigkeit von Art. 13a Abs. 1 SchlT ZGB müsse er im Herabsetzungsprozess "automatisch" als Nachkomme des Erblassers anerkannt werden (E. 9.1).</w:t>
      </w:r>
    </w:p>
    <w:p>
      <w:r>
        <w:t>Regeste Art. 457 et 522 CC, art. 13a al. 1 Tit. fin. CC; art. 8 en relation avec l'art. 14 CEDH; paternité alimentaire et légitimation active pour intenter une action en réduction. La question de savoir qui est le descendant ressortit au droit de la famille. La condition préalable est l'existence d'un lien de filiation juridique (consid. 4.4). La paternité de paiement de l'ancien droit ne fonde pas un tel lien (consid. 4.5.1 et 7). Elle n'a pas non plus été transformée ipso iure en un lien de filiation juridique avec l'entrée en vigueur du nouveau droit de la filiation (consid. 4.6.1), ce qui n'est pas critiquable au regard de la Convention européenne des droits de l'homme (consid. 8). Est laissée ouverte la question de savoir si la disposition transitoire de l'art. 13a Tit. fin. CC contient des éléments contraires à la Convention (consid. 8). L'action en paternité est une action formatrice. Ses effets ne peuvent pas être obtenus dans le cadre de la réponse à des questions (juridiques) préalables (en l'occurrence: légitimation active pour introduire une action en réduction), mais uniquement par les moyens prévus à cet effet par la loi (consid. 7.2). Le recourant aurait, dès lors, pu et dû introduire une action en paternité (consid. 4.6.2 et 7.4.1). Il ne peut se prévaloir de la soi-disant non-conventionnalité de l'art. 13a al. 1 Tit. fin. CC pour être reconnu "automatiquement" comme descendant du défunt dans le procès en réduction (consid. 9.1).</w:t>
      </w:r>
    </w:p>
    <w:p>
      <w:r>
        <w:t>Regesto Art. 457 e 522 CC, art. 13a cpv. 1 Tit. fin. CC; art. 8 in relazione con l'art. 14 CEDU; paternità tributaria e legittimazione attiva a promuovere un'azione di riduzione. È il diritto di famiglia a determinare chi è discendente. Occorre un rapporto di filiazione giuridica (consid. 4.4). La paternità tributaria del diritto previgente non fonda un tale rapporto (consid. 4.5.1 e 7). Essa non si è neppure trasformata ipso iure in un rapporto di filiazione giuridica con l'entrata in vigore del nuovo diritto di filiazione (consid. 4.6.1), ciò che non è criticabile sotto il profilo della Convenzione europea dei diritti dell'uomo (consid. 8). La questione se la norma transitoria dell'art. 13a Tit. fin. CC contenga elementi contrari alla Convenzione è lasciata aperta (consid. 8). L'azione di paternità è un'azione costitutiva. I suoi effetti non possono essere ottenuti rispondendo a questioni (giuridiche) pregiudiziali (in concreto: la legittimazione attiva a promuovere un'azione di riduzione), ma unicamente attraverso i mezzi previsti a tale scopo dalla legge (consid. 7.2). Per questo il ricorrente avrebbe potuto e dovuto introdurre un'azione di paternità (consid. 4.6.2 e 7.4.1). Egli non può far valere che, in virtù della pretesa contrarietà dell'art. 13a cpv. 1 Tit. fin. CC alla Convenzione, dovrebbe essere "automaticamente" riconosciuto quale discendente del defunto nella procedura di riduzione (consid. 9.1).</w:t>
      </w:r>
    </w:p>
    <w:p>
      <w:pPr>
        <w:pStyle w:val="Heading2"/>
      </w:pPr>
      <w:r>
        <w:t>Erwägungen</w:t>
      </w:r>
    </w:p>
    <w:p>
      <w:r>
        <w:rPr>
          <w:b/>
        </w:rPr>
        <w:t>E. 4</w:t>
      </w:r>
    </w:p>
    <w:p>
      <w:r>
        <w:t>Umstritten ist die Frage, ob dem Beschwerdeführer nach Massgabe des materiellen Rechts der eingeklagte Anspruch (Herstellung des Pflichtteils) zusteht und er in diesem Sinn zur Erhebung der Herabsetzungsklage nach Art. 522 ZGB aktivlegitimiert ist. Zur Beantwortung dieser Frage ist die geltende Rechtslage fallbezogen wie folgt umfassend darzulegen.</w:t>
      </w:r>
    </w:p>
    <w:p>
      <w:r>
        <w:rPr>
          <w:b/>
        </w:rPr>
        <w:t>E. 4.1</w:t>
      </w:r>
    </w:p>
    <w:p>
      <w:r>
        <w:t>Nach der Konzeption des Schweizerischen Erbrechts sind die Nachkommen (Kinder oder, wenn sie vorverstorben sind, Kindeskinder) sowie ein überlebender Ehegatte oder eingetragener Partner bzw. eine eingetragene Partnerin die nächsten gesetzlichen Erben eines Erblassers ( Art. 457 Abs. 1 und Art. 462 ZGB ). Mehrere Kinder erben zu gleichen Teilen ( Art. 457 Abs. 2 ZGB ). Hinterlässt der Erblasser keine Nachkommen, gelangt die Erbschaft an den Stamm der Eltern ( Art. 458 ZGB ). Hinterlässt der Erblasser auch keine Erben des elterlichen Stamms, gelangt die Erbschaft an den Stamm der Grosseltern ( Art. 459 ZGB ). Mit dem Stamm der Grosseltern hört die gesetzliche Erbberechtigung der Verwandten BGE 150 III 160 S. 163 auf ( Art. 460 ZGB ). Hinterlässt der Erblasser keine gesetzlichen Erben und setzt er keine Erben ein ( Art. 483 ZGB ), fällt die Erbschaft an das im Gesetz hierfür vorgesehene Gemeinwesen ( Art. 466 ZGB ).</w:t>
      </w:r>
    </w:p>
    <w:p>
      <w:r>
        <w:rPr>
          <w:b/>
        </w:rPr>
        <w:t>E. 4.2</w:t>
      </w:r>
    </w:p>
    <w:p>
      <w:r>
        <w:t>In den Schranken der Verfügungsfreiheit kann ein Erblasser mit letztwilliger Verfügung oder mit Erbvertrag ganz oder teilweise über sein Vermögen verfügen ( Art. 481 Abs. 1 ZGB ). Der Teil, über den er nicht verfügt hat, fällt an die gesetzlichen Erben ( Art. 481 Abs. 2 ZGB ). Wer Nachkommen, den Ehegatten, die eingetragene Partnerin oder den eingetragenen Partner hinterlässt, kann - unter Vorbehalt von sog. Enterbungsgründen ( Art. 477 ZGB ) - nur bis zu deren sog. Pflichtteil über sein Vermögen von Todes wegen verfügen ( Art. 470 Abs. 1 ZGB ). Andere gesetzliche Erben (d.h. Erben des elterlichen oder des grosselterlichen Stamms) geniessen diesen Schutz nicht ( Art. 470 Abs. 2 ZGB ).</w:t>
      </w:r>
    </w:p>
    <w:p>
      <w:r>
        <w:rPr>
          <w:b/>
        </w:rPr>
        <w:t>E. 4.3.1</w:t>
      </w:r>
    </w:p>
    <w:p>
      <w:r>
        <w:t>Erhält ein pflichtteilsgeschützter Erbe dem Wert nach weniger als seinen Pflichtteil - oder ist er gar (implizit) gänzlich von der Erbschaft ausgeschlossen oder sonst wie einfach übergangen worden ( BGE 143 III 369 E. 2.1; BGE 139 V 1 E. 4.3) - kann er mittels einer Herabsetzungsklage die Herstellung seines Pflichtteils erwirken ( Art. 522 ZGB ).</w:t>
      </w:r>
    </w:p>
    <w:p>
      <w:r>
        <w:rPr>
          <w:b/>
        </w:rPr>
        <w:t>E. 4.3.2</w:t>
      </w:r>
    </w:p>
    <w:p>
      <w:r>
        <w:t>Weil es bei der Herabsetzungsklage um die Herstellung des Pflichtteils geht (vgl. E. 4.3.1 hiervor), kann nur ein pflichtteilsgeschützter Erbe klagen. Als solcher gilt auch ein vollständig übergangener Pflichtteilserbe, der seine Erbenstellung erst mit einem zu seinen Gunsten lautenden Herabsetzungs- oder Ungültigkeitsurteil erlangt ( BGE 143 III 369 E. 2.1) und dem bis dahin eine bloss virtuelle Erbenstellung zukommt (Urteil 5A_765/2022 vom 24. April 2023 E. 3.1.1). Obsiegt der klagende (virtuelle) Erbe, mündet das Herabsetzungsverfahren in ein Gestaltungsurteil, das ihm die Erbenstellung verschafft. Auf dieser Basis ist er alsdann zur Erhebung einer Erbteilungsklage legitimiert ( BGE 139 V 1 E. 4.3; siehe auch WEIBEL, in: Erbrecht, Abt/Weibel [Hrsg.], 5. Aufl. 2023, N. 10 zu Art. 604 ZGB ).</w:t>
      </w:r>
    </w:p>
    <w:p>
      <w:r>
        <w:rPr>
          <w:b/>
        </w:rPr>
        <w:t>E. 4.4</w:t>
      </w:r>
    </w:p>
    <w:p>
      <w:r>
        <w:t>Die Frage, wer Nachkomme ist, entscheidet das Familienrecht ( BGE 124 III 1 E. 2). Nachkommen sind Personen, die zum Erblasser in einem direkten Kindesverhältnis standen; ebenfalls als Nachkomme gilt, wenn einer seiner Vorfahren zum Erblasser in BGE 150 III 160 S. 164 einem direkten Kindesverhältnis stand (bspw. Grosskinder oder Urgrosskinder; vgl. BGE 143 V 354 E. 4.2.1; NERTZ, in: Erbrecht, Abt/Weibel [Hrsg.], 5. Aufl. 2023, N. 3 zu Art. 457 ZGB ; STAEHELIN, in: Basler Kommentar, Zivilgesetzbuch, Bd. II, 7. Aufl. 2023, N. 2 zu Art. 457 ZGB ). Vorausgesetzt ist ein rechtliches Kindesverhältnis, denn das gesetzliche Erbrecht stellt ausschliesslich auf formelle familienrechtliche Beziehungen ab; ohne formelle familienrechtliche Bande gibt es keine gesetzliche Erbberechtigung ( BGE 134 III 467 E. 2; BRACONI/CARRON/GAURON-CARLIN, Code civil suisse et Code des obligations annotés, 11. Aufl. 2020, S. 252 zu Art. 457 ZGB ; vgl. auch STAEHELIN, a.a.O., N. 3 zu Art. 457 ZGB ). Diese Regelung findet ihren Grund in der Rechtssicherheit (WOLF/GENNA, Erbrecht, in: SPR Bd. IV/1, 2012, S. 113). Nicht von Bedeutung ist hingegen, ob das Kindesverhältnis ein eheliches oder aussereheliches ist. Eine unterschiedliche Behandlung ist einzig von gemeinsamen und nicht gemeinsamen Kindern im Rahmen von Art. 473 Abs. 1 ZGB zu Gunsten des überlebenden Ehegatten möglich.</w:t>
      </w:r>
    </w:p>
    <w:p>
      <w:r>
        <w:rPr>
          <w:b/>
        </w:rPr>
        <w:t>E. 4.5.1</w:t>
      </w:r>
    </w:p>
    <w:p>
      <w:r>
        <w:t>Im Zeitpunkt der Geburt des Beschwerdeführers im Jahr 1958 und bis zum Inkrafttreten des Bundesgesetzes vom 25. Juni 1976 über die Änderung des Schweizerischen Zivilgesetzbuches (Kindesverhältnis) am 1. Januar 1978 (AS 1977 237; BBl 1974 II 1) unterschied das ZGB zwischen ehelichen (aArt. 252 bis aArt. 301 ZGB) und ausserehelichen Kindesverhältnissen (aArt. 302 bis aArt. 327 ZGB). Das aussereheliche Kindesverhältnis zwischen dem Kind und der Mutter entstand - wie heute ( Art. 252 Abs. 1 ZGB ) - mit der Geburt (aArt. 302 Abs. 1 ZGB). Das aussereheliche - rechtliche bzw. mit Standesfolge verbundene - Kindesverhältnis zwischen dem Kind und dem Vater konnte nur durch Anerkennung durch den Vater (aArt. 303 i.V.m. aArt. 325 ZGB) oder auf Klage der Mutter oder des Kindes auf Zusprechung mit Standesfolge (aArt. 307 i.V.m. aArt. 309 Abs. 1 und aArt. 323 ZGB) durch Urteil begründet werden (aArt. 302 Abs. 2 ZGB). Bestand ein solches rechtliches Kindesverhältnis, begründete dieses ein sog. aussereheliches Verwandtschaftsverhältnis. Damit war das Kind gegenüber seinem Vater auch erbberechtigt (aArt. 461 Abs. 2 ZGB) und pflichtteilsgeschützt (aArt. 461 i.V.m. aArt. 471 Ziff. 1 ZGB). Die Vaterschaftsklage ging jedoch in erster Linie auf blosse Vermögensleistungen (aArt. 309 Abs. 1 ZGB), namentlich auf Zuspruch von Unterhalt (aArt. 319 ZGB). Die familienrechtlichen Pflichten des Vaters waren damit BGE 150 III 160 S. 165 rein vermögensrechtlicher Natur; das Urteil schuf keine weitergehende familiäre oder rechtliche Bindung zwischen dem Erzeuger und dem Kind bzw. begründete kein (rechtliches) Kindesverhältnis, weswegen das Kind auch kein Erbrecht hatte ( BGE 124 III 1 E. 2a; Urteil 5A_764/2022 vom 3. Juli 2023 E. 3.4; HEGNAUER, Berner Kommentar, 3. Aufl. 1969, N. 37 zu [a]Art. 302 sowie N. 7, 16 f. zu [a] Art. 303 ZGB ). Mit Zustimmung des Beistands (vgl. aArt. 311 ZGB) und der Vormundschaftsbehörde (aArt. 421 Ziff. 8 ZGB) konnten die Mutter und der Vater auch einen Unterhaltsvertrag abschliessen (EGGER, Zürcher Kommentar, 2. Aufl. 1943, N. 28 ff. zu [a] Art. 319 ZGB ). Der Abschluss eines Unterhaltsvertrags war - wie auch das Urteil, das den Vater nur zu Vermögensleistungen verpflichtete - ohne Standesfolge bzw. begründete kein Kindesverhältnis im Sinn von aArt. 302 Abs. 2 ZGB. Rechtsprechung und Lehre verwendeten für den Fall, dass der Vater aufgrund eines Urteils oder eines Unterhaltsvertrags zu Vermögensleistungen verpflichtet war, den Begriff der Zahlvaterschaft. Mutter und Kind konnten indes auch auf Anerkennung des Kindesverhältnisses mit Standesfolge klagen, aber nur, wenn der Vater "der Mutter die Ehe versprochen, oder sich mit der Beiwohnung an ihr eines Verbrechens schuldig gemacht oder die ihm über sie zustehende Gewalt missbraucht hat" (aArt. 323 ZGB). Aufgrund dieser einschränkenden Vorgaben war die Zahlvaterschaft tatsächlich die häufigste Regelung eines ausserehelichen Kindesverhältnisses (siehe dazu die Statistik für den Kanton Zürich bei HEGNAUER, Berner Kommentar, 4. Aufl. 1984, N. 140 zu [a] Art. 261 ZGB ).</w:t>
      </w:r>
    </w:p>
    <w:p>
      <w:r>
        <w:rPr>
          <w:b/>
        </w:rPr>
        <w:t>E. 4.5.2</w:t>
      </w:r>
    </w:p>
    <w:p>
      <w:r>
        <w:t>Mit der Inkraftsetzung des neuen Kindesrechts am 1. Januar 1978 hat der Gesetzgeber den Dualismus zwischen Zahlvaterschaft und Vaterschaft mit Standesfolge abgeschafft. An dessen Stelle trat der Grundsatz der Einheit des Kindesverhältnisses ( BGE 149 III 370 E. 3.6.2; BGE 108 II 527 E. 1b). Seither ist die Entstehung des Kindesverhältnisses in den Art. 252 ff. ZGB geregelt. Es ist ein Rechtsverhältnis, das zwar in der Regel entweder mit der genetischen bzw. biologischen Abstammung oder mit der sozialen oder intentionalen Elternschaft übereinstimmt. Diese Eigenschaften sind jedoch weder notwendige noch hinreichende Bedingung für seine Entstehung (SCHWENZER/COTTIER, in: Basler Kommentar, Zivilgesetzbuch, Bd. I, 7. Aufl. 2022, N. 2 zu Art. 252 ZGB ). Das Kindesverhältnis zur Mutter entsteht von Gesetzes wegen mit der Geburt ( Art. 252 Abs. 1 ZGB ). Zwischen dem Kind und dem anderen BGE 150 III 160 S. 166 Elternteil wird das Kindesverhältnis kraft der Ehe mit der Mutter begründet ( Art. 255 und Art. 255a ZGB ; pater est quem nuptiae demonstrant ). Sind die Eltern nicht miteinander verheiratet und besteht kein anderes gesetzliches Kindesverhältnis (zum Ehemann der Mutter, der aber nicht der biologische Vater ist), kann der Vater das Kind anerkennen ( Art. 260 Abs. 1 ZGB ). Die Anerkennung erfolgt durch Erklärung vor dem Zivilstandsbeamten oder durch letztwillige Verfügung oder, wenn eine Klage auf Feststellung der Vaterschaft hängig ist, vor dem Gericht ( Art. 260 Abs. 3 ZGB ). Besteht das Kindesverhältnis nur zur Mutter und anerkennt der Vater das Kind nicht, können sowohl die Mutter als auch das Kind auf Feststellung des Kindesverhältnisses zwischen dem Kind und dem Vater klagen ( Art. 261 ff. ZGB ). Schliesslich kann ein Kindesverhältnis durch Adoption entstehen (Art. 252 Abs. 3 i.V.m. Art. 264 ff. ZGB ). Die Vaterschaftsklage nach Art. 261 ff. ZGB ist eine Gestaltungsklage. Mit ihr wird das Rechtsverhältnis zwischen Vater und Kind verbindlich gestaltet und rückwirkend auf die Geburt des Kindes hin begründet (vgl. Urteil 5A_794/2014 vom 6. Mai 2015 E. 4.2), und zwar erst mit dem Urteil, das insofern konstitutive Wirkung hat (HEGNAUER, Berner Kommentar, 4. Aufl. 1984, N. 12 zu Art. 261 ZGB ). Die Klage kann vor oder nach der Niederkunft erhoben werden. Wenn die Mutter klagt, muss sie dies vor Ablauf eines Jahres seit der Geburt tun ( Art. 263 Abs. 1 Ziff. 1 ZGB ). Das Kind muss demgegenüber erst vor Ablauf eines Jahres nach Erreichen der Volljährigkeit klagen ( Art. 263 Abs. 1 Ziff. 2 ZGB ). Nach Ablauf der Frist wird eine Klage zugelassen, wenn die Verspätung mit wichtigen Gründen entschuldigt wird ( Art. 263 Abs. 3 ZGB ).</w:t>
      </w:r>
    </w:p>
    <w:p>
      <w:r>
        <w:rPr>
          <w:b/>
        </w:rPr>
        <w:t>E. 4.6.1</w:t>
      </w:r>
    </w:p>
    <w:p>
      <w:r>
        <w:t>Zufolge des Inkrafttretens des neuen Kindesrechts stellte sich unter anderem die Frage, wie mit den bisher bestehenden Zahlvaterschaften umzugehen sei. Zu diesem Zweck änderte oder erliess der Gesetzgeber mehrere Übergangsbestimmungen. Die Grundregel ist dabei im Art. 12 Abs. 1 Satz 1 SchlT ZGB zu sehen, wonach Entstehung und Wirkungen des Kindesverhältnisses im Grundsatz dem neuen Recht unterstehen. Diese Bestimmung konkretisiert Art. 3 SchlT ZGB , wonach Rechtsverhältnisse, deren Inhalt unabhängig vom Willen der Beteiligten durch das Gesetz umschrieben wird, nach dem neuen Recht zu beurteilen sind, auch wenn sie vor dessen Inkrafttreten begründet wurden. Massgebend ist also nicht das Recht, unter dem das Kind geboren ist, sondern unter welchem es lebt. BGE 150 III 160 S. 167 Dies findet seine Rechtfertigung darin, dass das Kindesverhältnis nicht ein punktueller Tatbestand ist, der im Zeitpunkt der Geburt endgültig fixiert wird, sondern ein Dauertatbestand (dazu HEGNAUER, Das Übergangsrecht [nachfolgend: Übergangsrecht], in: Das neue Kindesrecht, 1978, S. 123 Rz. 4). Konkret im Zusammenhang mit Zahlvaterschaften steht Art. 13a Abs. 1 SchlT ZGB . Diese Bestimmung enthält folgende Regelung: Ist vor Inkrafttreten des neuen Rechts durch gerichtliche Entscheidung oder durch Vertrag eine Verpflichtung des Vaters zu Vermögensleistungen begründet worden (bestand also eine Zahlvaterschaft) und hat das Kind beim Inkrafttreten des neuen Rechts das zehnte Altersjahr noch nicht vollendet (war also nach dem 31. Dezember 1967 geboren), so kann es binnen zwei Jahren (also bis zum 31. Dezember 1979) nach den Bestimmungen des neuen Rechts auf Feststellung des Kindesverhältnisses klagen. Für den Fall einer Vaterschaftsklage ging das Gesetz von der Vermutung aus, dass der Zahlvater der biologische Vater des Kindes war. In diesem Sinn oblag nicht dem Kind der Beweis der Vaterschaft, sondern es war der Zahlvater, der beweisen musste, dass seine Vaterschaft ausgeschlossen oder weniger wahrscheinlich ist als diejenige eines Dritten ( Art. 13a Abs. 2 SchlT ZGB ). Im Unterschied zum deutschen Gesetz vom 19. August 1969 über die rechtliche Stellung nichtehelicher Kinder (sog. Nichtehelichengesetz; NEhelG) wurden damit die altrechtlich begründeten Zahlvaterschaften nicht ipso iure in Vaterschaften mit Standesfolge oder neurechtliche Kindesverhältnisse übergeleitet ( BGE 149 III 370 E. 3.6.2). Diese Bestimmung war das Ergebnis intensiver parlamentarischer Beratung und letztlich ein Kompromiss (zum Ganzen: BGE 124 III 1 E. 2c; PIOTET, in: Commentaire romand, Code civil, Bd. II, 2016, N. 1 zu Art. 13a SchlT ZGB ; siehe auch HEGNAUER, Übergangsrecht, a.a.O., S. 128 Rz. 11). Hat das Kind nicht auf Feststellung des (neurechtlichen) Kindesverhältnisses geklagt, bleibt das Rechtsverhältnis zwischen Vater und Kind auf die Wirkungen der Zahlvaterschaft beschränkt (vgl. BGE 124 III 1 E. 2c; HEGNAUER, Übergangsrecht, a.a.O., S. 132 Rz. 17), besteht folglich kein (rechtliches) Kindesverhältnis, gilt das Kind demzufolge rechtlich gesehen nicht als Nachkomme und hat dementsprechend kein (pflichtteilsgeschütztes) Erbrecht.</w:t>
      </w:r>
    </w:p>
    <w:p>
      <w:r>
        <w:rPr>
          <w:b/>
        </w:rPr>
        <w:t>E. 4.6.2</w:t>
      </w:r>
    </w:p>
    <w:p>
      <w:r>
        <w:t>In der neueren Rechtsprechung haben sich die kantonale und die bundesgerichtliche Rechtsprechung nicht an dieser gesetzlichen Vorgabe orientiert, wenn ein Kind, das vor dem 1. Januar 1968 BGE 150 III 160 S. 168 geboren war, nach Inkrafttreten des neuen Kindesrechts eine Vaterschaftsklage erhoben und wichtige Gründe im Sinn von Art. 263 Abs. 3 ZGB geltend gemacht hat. So hatten im Verfahren 5A_518/ 2011 der im Jahr 1939 geborene Kläger am 24. Februar 2010 und im Verfahren 5A_423/2016 die im Jahr 1964 geborene Klägerin am 28. Oktober 2014 Vaterschaftsklage erhoben. In beiden Fällen wären die Kläger nach Massgabe der in Art. 13a Abs. 1 SchlT ZGB enthaltenen zeitlichen Barrieren (sie hatten im Zeitpunkt des Inkrafttretens des neuen Rechts das zehnte Altersjahr bereits vollendet und die Vaterschaftsklage später als zwei Jahre nach Inkrafttreten des neuen Rechts erhoben) von der Vaterschaftsklage ausgeschlossen gewesen. Auch in Anwendung des neuen Rechts wären die Vaterschaftsklagen grundsätzlich verwirkt gewesen, weil die Kläger nach Ablauf eines Jahres nach Erreichen ihrer Volljährigkeit geklagt hatten ( Art. 263 Abs. 1 Ziff. 2 ZGB ). Indessen haben die kantonalen Gerichte wie auch das Bundesgericht die vorerwähnten Vaterschaftsklagen unter Anwendung des neuen Kindesrechts an die Hand genommen und gestützt auf Art. 263 Abs. 3 ZGB die Zulässigkeit der formell verspäteten Klagen geprüft (Urteile 5A_ 518/2011 vom 22. November 2012 E. 4 und 5A_423/2016 vom 7. März 2017 E. 5). Während das Bundesgericht im Verfahren 5A_ 518/2011 einen wichtigen Grund bejahte, erachtete es im Verfahren 5A_423/2016 einen solchen als nicht erfüllt. Der EGMR hat die Beurteilung des Bundesgerichts im Verfahren 5A_423/2016 geschützt, indem er eine Verletzung von Art. 8 EMRK verneinte (Urteil des EGMR Lavanchy gegen Schweiz, Nr. 69997/17 vom 19. Oktober 2021, § 41).</w:t>
      </w:r>
    </w:p>
    <w:p>
      <w:r>
        <w:rPr>
          <w:b/>
        </w:rPr>
        <w:t>E. 4.7</w:t>
      </w:r>
    </w:p>
    <w:p>
      <w:r>
        <w:t>Jedes Eltern-Kind-Verhältnis war damals und ist heute im Personenstandsregister einzutragen (Art. 7 Abs. 2 lit. l und Art. 8 lit. l der Zivilstandsverordnung vom 28. April 2004 [ZStV; SR 211.112.2]). Dem Eintrag kommt indes keine konstitutive, sondern rein deklaratorische Wirkung zu (SCHWENZER/COTTIER, a.a.O., N. 5 zu Art. 252 ZGB ).</w:t>
      </w:r>
    </w:p>
    <w:p>
      <w:r>
        <w:rPr>
          <w:b/>
        </w:rPr>
        <w:t>E. 4.8</w:t>
      </w:r>
    </w:p>
    <w:p>
      <w:r>
        <w:t>Zusammenfassend kann festgehalten werden, dass nur der (allenfalls virtuelle) pflichtteilsgeschützte Erbe zur Erhebung der Herabsetzungsklage nach Art. 522 ZGB berechtigt ist (E. 4.3.2), dass pflichtteilsgeschützter Erbe - soweit hier von Bedeutung - nur ein Nachkomme i.S.v. Art. 457 ZGB sein kann (E. 4.1 und E. 4.2), dass für die Erlangung der Nachkommeneigenschaft ein rechtliches Kindesverhältnis vorausgesetzt wird (E. 4.4) und dass ein BGE 150 III 160 S. 169 solches mit einer altrechtlichen Zahlvaterschaft nicht begründet wurde (E. 4.5 f.). (...)</w:t>
      </w:r>
    </w:p>
    <w:p>
      <w:r>
        <w:rPr>
          <w:b/>
        </w:rPr>
        <w:t>E. 7</w:t>
      </w:r>
    </w:p>
    <w:p>
      <w:r>
        <w:t>Der Beschwerdeführer hat eine Herabsetzungsklage nach Art. 522 ZGB erhoben, aber keine Vaterschaftsklage, worauf er mehrfach selber hinweist.</w:t>
      </w:r>
    </w:p>
    <w:p>
      <w:r>
        <w:rPr>
          <w:b/>
        </w:rPr>
        <w:t>E. 7.1</w:t>
      </w:r>
    </w:p>
    <w:p>
      <w:r>
        <w:t>Im Rahmen der Herabsetzungsklage hatten die kantonalen Instanzen zu prüfen, ob der Beschwerdeführer pflichtteilsgeschützter Erbe des Erblassers ist. Vorfrageweise stellte sich also die Frage, ob er im Sinn von Art. 457 ZGB bzw. Art. 470 ZGB Nachkomme des Erblassers ist, was wiederum nur zutrifft, wenn er in einem rechtlichen Kindesverhältnis zum Erblasser steht (oben E. 4.1-4.4). Ein solches bestand im Zeitpunkt der Anhebung der Herabsetzungsklage unbestrittenermassen nicht (nicht publ. E. 5) und konnte nach dem Hinschied des Erblassers nur noch auf dem Weg einer - gegen dessen Nachkommen gerichteten ( Art. 261 Abs. 2 ZGB ) - Vaterschaftsklage hergestellt werden.</w:t>
      </w:r>
    </w:p>
    <w:p>
      <w:r>
        <w:rPr>
          <w:b/>
        </w:rPr>
        <w:t>E. 7.2</w:t>
      </w:r>
    </w:p>
    <w:p>
      <w:r>
        <w:t>Wie bereits ausgeführt, handelt es sich bei der Vaterschaftsklage um eine Gestaltungsklage, die im Fall der Gutheissung das Rechtsverhältnis zwischen Vater und Kind verbindlich gestaltet und dieses rückwirkend auf die Geburt des Kindes hin begründet; insofern kommt dem Urteil im Vaterschaftsprozess konstitutive Wirkung zu (oben E. 4.5.2). Die Wirkung eines gestaltenden Urteils kann - anders etwa als die Feststellung der biologischen Vaterschaft - seiner Natur nach nicht im Rahmen der Beantwortung von (rechtlichen) Vorfragen herbeigeführt werden, sondern nur mittels der im Gesetz hierfür vorgesehenen Mittel (vgl. BGE 144 III 1 E. 4.2; BGE 108 II 344 E. 1a; Urteile 5A_668/2020 vom 23. November 2020 E. 2.3; 5P.415/2004 vom 5. Januar 2005 E. 3.2.2). Denn das Vorliegen eines rechtsgestaltenden Urteils bildet tatbestandsmässige Voraussetzung für die Rechtsänderung, wobei die Gestaltungswirkung als Urteilsinhalt im Dispositiv erscheint (SOGO, Gestaltungsklagen und Gestaltungsurteile des materiellen Rechts und ihre Auswirkungen auf das Verfahren, 2007, S. 96, 226). Deshalb konnte die Frage, ob der Beschwerdeführer in einer Vaterschaftsklage obsiegen würde, von vornherein nicht Gegenstand des Herabsetzungsverfahrens sein; erst recht konnte die Gestaltungswirkung eines Vaterschaftsurteils nicht vorfrageweise oder inzident bei der Prüfung der Aktivlegitimation zu einer Herabsetzungsklage erzielt werden. BGE 150 III 160 S. 170 Damit trifft die Argumentation des Beschwerdeführers, wonach er seine Eigenschaft als Nachkomme nicht in einem Vaterschaftsprozess geltend machen müsse, sondern diese inzident im Rahmen der Herabsetzungsklage geprüft werden könne, nicht zu.</w:t>
      </w:r>
    </w:p>
    <w:p>
      <w:r>
        <w:rPr>
          <w:b/>
        </w:rPr>
        <w:t>E. 7.3</w:t>
      </w:r>
    </w:p>
    <w:p>
      <w:r>
        <w:t>Anders als noch vor Obergericht behauptet der Beschwerdeführer vor Bundesgericht nicht (mehr), sein Verfahrensantrag, wonach im Sinn eines Zwischenentscheids festzustellen sei, dass er Erbe im Sinn von Art. 470 ZGB sei, wäre als Rechtsbegehren auf Feststellung der Vaterschaft zu behandeln gewesen. Damit braucht auf diese Frage nicht eingegangen zu werden.</w:t>
      </w:r>
    </w:p>
    <w:p>
      <w:r>
        <w:rPr>
          <w:b/>
        </w:rPr>
        <w:t>E. 7.4</w:t>
      </w:r>
    </w:p>
    <w:p>
      <w:r>
        <w:t>Der Beschwerdeführer argumentiert aber, zufolge Art. 13a SchlT ZGB wäre jede Vaterschaftsklage sinnlos gewesen, weshalb von ihm nicht verlangt werden könne, dass er eine aussichtslose Vaterschaftsklage einreiche, bevor er die Herabsetzungsklage erheben dürfe. So besehen stehe ihm also auch die Herabsetzungsklage offen.</w:t>
      </w:r>
    </w:p>
    <w:p>
      <w:r>
        <w:rPr>
          <w:b/>
        </w:rPr>
        <w:t>E. 7.4.1</w:t>
      </w:r>
    </w:p>
    <w:p>
      <w:r>
        <w:t>Es trifft zwar zu, dass dem Beschwerdeführer die Vaterschaftsklage nach dem Wortlaut von Art. 13a Abs. 1 SchlT ZGB nicht offenstand, weil er im Zeitpunkt des Inkrafttretens des neuen Kindesrechts das zehnte Altersjahr bereits vollendet hatte (oben E. 4.6.1). Hingegen hat die jüngere Rechtsprechung Vaterschaftsklagen, die von Personen, die im Zeitpunkt des Inkrafttretens des neuen Kindesrechts (d.h. am 1. Januar 1978) das zehnte Altersjahr bereits vollendet hatten, nach Ablauf der in Art. 13a Abs. 1 SchlT ZGB genannten zweijährigen Frist erhoben wurden, nicht gestützt auf die genannte Übergangsbestimmung abgewiesen, sondern an die Hand genommen und nach Massgabe des (neurechtlichen) Art. 263 Abs. 3 ZGB geprüft, ob die Verspätung mit wichtigen Gründen entschuldigt wird (oben E. 4.6.2). Entgegen der Auffassung des Beschwerdeführers wäre es ihm also möglich gewesen, eine (eigenständige) Vaterschaftsklage anzuheben. Soweit er Gegenteiliges ausführt, widerspricht er sich selbst, denn sollte Art. 13a Abs. 1 SchlT ZGB mit der Europäischen Menschenrechtskonvention (EMRK) nicht vereinbar sein, wie er behauptet, wäre er seiner Logik folgend auch aus diesem Grund zur Vaterschaftsklage zuzulassen bzw. hätte er diese Frage im Rahmen einer Vaterschaftsklage klären lassen können. Dass der Beschwerdeführer bisher keine Vaterschaftsklage angehoben hat, hat er sich demzufolge selber zuzuschreiben.</w:t>
      </w:r>
    </w:p>
    <w:p>
      <w:r>
        <w:rPr>
          <w:b/>
        </w:rPr>
        <w:t>E. 7.4.2</w:t>
      </w:r>
    </w:p>
    <w:p>
      <w:r>
        <w:t>Falsch ist auch die Behauptung des Beschwerdeführers, Art. 263 Abs. 1 Ziff. 2 ZGB und damit die Möglichkeit für ein ausserehelich BGE 150 III 160 S. 171 geborenes Kind, Vaterschaftsklage zu erheben, sei erst 2013 ins Gesetz eingeführt worden. In der Fassung gemäss Ziff. I 1 des Bundesgesetzes vom 25. Juni 1976, in Kraft seit 1. Januar 1978 (AS 1977 237, 264; BBl 1974 II 1), lautete Art. 263 Abs. 1 Ziff. 2 ZGB wie folgt: "Die Klage kann vor oder nach der Niederkunft angebracht werden, ist aber einzureichen: 1. (...), 2. vom Kind vor Ablauf eines Jahres seit Erreichen des Mündigkeitsalters." In der Fassung gemäss Ziff. I 2 des Bundesgesetzes vom 19. Dezember 2008 (Erwachsenenschutz, Personenrecht und Kindesrecht), in Kraft seit 1. Januar 2013 (AS 2011 725; BBl 2006 7001) lautet Art. 263 Abs. 1 Ziff. 2 ZGB wie folgt: "Die Klage kann vor oder nach der Niederkunft angebracht werden, ist aber einzureichen: 1. (...), 2. vom Kind vor Ablauf eines Jahres nach Erreichen der Volljährigkeit." Mithin hat der Gesetzgeber in seiner letzten Revision Art. 263 Abs. 1 Ziff. 2 ZGB bloss terminologisch aktualisiert. Die Verwendung des Begriffs "Volljährigkeit" anstelle des bisherigen Begriffs "Mündigkeitsalter" hat keinerlei rechtliche Konsequenzen, denn die beiden Wörter stehen für ein und dasselbe, nämlich dass eine Person das 18. Lebensjahr zurückgelegt hat ( Art. 14 ZGB ).</w:t>
      </w:r>
    </w:p>
    <w:p>
      <w:r>
        <w:rPr>
          <w:b/>
        </w:rPr>
        <w:t>E. 8</w:t>
      </w:r>
    </w:p>
    <w:p>
      <w:r>
        <w:t>Der Beschwerdeführer beklagt sich zumindest implizit darüber, dass die Schweiz die altrechtlichen Zahlvaterschaften nicht von Gesetzes wegen in ein rechtliches Kindesverhältnis umgewandelt hat. Er bezieht sich dabei auf die Urteile des EGMR Brauer gegen Deutschland , Nr. 3545/04 vom 28. Mai 2009, Mitzinger gegen Deutschland , Nr. 29762/10 vom 9. Februar 2017 sowie Wolter und Sarfert gegen Deutschland , Nrn. 59752/13 und 66277/13 vom 23. März 2017. In der Tat sah das deutsche Recht anlässlich zweier Revisionen des NEhelG in den Jahren 1969 und 2011 für Kinder im Grundsatz die Aufwertung von altrechtlich begründeten Zahlvaterschaften in Vaterschaften mit Standesfolge bzw. ordentliche Kindesverhältnisse vor (oben E. 4.6.1), womit diese erbrechtlich den ehelichen Kindern gleichgestellt wurden. In Bezug auf die erbrechtlichen Verhältnisse erklärte das deutsche Recht jedoch für Kinder, die vor dem 1. Juli 1949 geboren waren, die bisher geltenden Vorschriften als massgebend. Der EGMR erachtete diese zeitliche Beschränkung der Gleichstellung auf nach dem 1. Juli 1949 geborene Kinder als unzulässig und erkannte auf eine Verletzung von Art. 14 i.V.m. Art. 8 bzw. Art. 14 i.V.m. Art. 1 des 1. Zusatzprotokolls EMRK. Hingegen ist der Rechtsprechung des EGMR kein Anspruch auf eine automatische Aufwertung der Zahlvaterschaft in ein rechtliches Kindesverhältnis zu entnehmen (siehe auch BGE 150 III 160 S. 172 Urteil 5A_764/2022 vom 3. Juli 2023 E. 3.5.3). Der Entscheid des schweizerischen Gesetzgebers als solcher, eine "Aufwertung" der Zahlvaterschaft nur mittels Vaterschaftsklage zu ermöglichen ( Art. 13a SchlT ZGB ), ist unter dem Gesichtspunkt der EMRK nicht zu beanstanden, zumal die Zustimmung oder Verpflichtung zur Leistung von Kindesunterhaltsbeiträgen unter dem alten Recht gerade keine Anerkennung einer biologischen Vaterschaft voraussetzte. Ob Art. 13a SchlT ZGB konventionswidrige Elemente enthält, wie dies in der Lehre teilweise vertreten wird (ausführlich SPRENGER/ ENGEL, Neue Hoffnung für Kinder ohne rechtlichen Vater? Die Zahlvaterschaft und das Übergangsrecht im Lichte der EMRK, FamPra.ch 2022 S. 347 ff.; PIOTET, a.a.O., N. 3 f. zu Art. 13a SchlT ZGB ; MEIER/STETTLER, Droit de la filiation, 6. Aufl. 2019, Rz. 181 Fn. 431, Rz. 207; AEBI-MÜLLER, Rechtsprechung des Bundesgerichts zum Familienrecht im Jahr 2022, Jusletter 6. März 2023 Rz. 58 S. 19; vgl. auch BREITSCHMID, in: Basler Kommentar, Zivilgesetzbuch, Bd. II, 7. Aufl. 2023, N. 2 zu Art. 12, N. 2 zu Art. 13a SchlT ZGB ), oder konventionswidrig angewendet werden könnte, braucht an dieser Stelle nicht beurteilt zu werden, zumal diese Frage im Rahmen einer Vaterschaftsklage zu klären wäre und der Beschwerdeführer wissentlich und willentlich keine solche Klage erhoben hat (oben E. 7.4). Indem das Bundesgericht Vaterschaftsklagen auch für Personen zulässt, die die in Art. 13a Abs. 1 SchlT ZGB genannten Voraussetzungen nicht erfüllen (oben E. 4.6.2), hat es jedenfalls für eine konventionskonforme Auslegung der fraglichen Übergangsbestimmung gesorgt.</w:t>
      </w:r>
    </w:p>
    <w:p>
      <w:r>
        <w:rPr>
          <w:b/>
        </w:rPr>
        <w:t>E. 9.1</w:t>
      </w:r>
    </w:p>
    <w:p>
      <w:r>
        <w:t>Aufgrund der vorstehenden Erwägungen braucht auf die Rüge, Art. 13a Abs. 1 SchlT ZGB sei mit Art. 8 i.V.m. Art. 14 EMRK nicht vereinbar, nicht eingegangen zu werden. Weil dem Beschwerdeführer der Weg zur Begründung der Vaterschaft grundsätzlich offenstand, kann er sich nicht darauf berufen, zufolge der Konventionswidrigkeit von Art. 13a Abs. 1 SchlT ZGB müsse er gleichsam "automatisch" als Nachkomme des Erblassers anerkannt werden. Ausserdem können an dieser Stelle zwei Punkte hervorgehoben werden: Macht ein ausserehelich geborenes Kind - wie hier - bloss erbrechtliche Ansprüche geltend, stehen weder der Anspruch auf "Familienleben" noch der Anspruch auf "Privatleben" zur Debatte, sondern die Frage, ob ein rechtliches Verhältnis zwischen dem Kind und dem Verstorbenen besteht. Art. 8 EMRK gewährleistet dem BGE 150 III 160 S. 173 Kind aber nicht per se das Recht, als Erbe eines Verstorbenen anerkannt zu werden (Urteil des EGMR Haas gegen Niederlande , Nr. 36983/97 vom 13. Januar 2004, § 43). Sodann vermag die biologische Abstammung allein keine enge persönliche Beziehung zwischen einem Vater und einem Kind im Sinn des "Familienlebens" zu begründen, die den Schutz von Art. 8 EMRK beanspruchen könnte (Urteil des EGMR L. gegen Niederlande , Nr. 45582/99 vom 1. Juni 2004, § 37-40). Ebenso zielt an der Sache vorbei, wenn der Beschwerdeführer in seinen Ausführungen auf das 12. Zusatzprotokoll zur EMRK, auf Art. 26 UNO-Pakt II (SR 0.103.2) und auf Art. 2 ff. des Übereinkommens vom 20. November 1989 über die Rechte des Kindes (Kinderrechtskonvention, KRK; SR 0.107) verweist. Was ersteres anbelangt, so hat die Schweiz dieses ohnehin nicht unterzeichnet, weshalb sich auch aus diesem Grund Weiterungen erübrigen. Im Übrigen legt der Beschwerdeführer nicht dar, welche konkreten Rechte er aus den zitierten Bestimmungen ableitet und inwiefern diese über die Gewährleistungen von Art. 8 bzw. Art. 14 EMRK hinausgingen. Er genügt damit seiner im Rahmen der Prüfung der Verletzung verfassungsmässiger Rechte gesteigerten Begründungspflicht ( Art. 106 Abs. 2 BGG ) nicht. Schliesslich ist angesichts der vorstehenden Erwägungen eine detaillierte Auseinandersetzung mit der in diesem Zusammenhang vom Beschwerdeführer geltend gemachten Verletzung von Art. 6 EMRK und Art. 8 ZGB nicht notwendig.</w:t>
      </w:r>
    </w:p>
    <w:p>
      <w:r>
        <w:rPr>
          <w:b/>
        </w:rPr>
        <w:t>E. 9.2</w:t>
      </w:r>
    </w:p>
    <w:p>
      <w:r>
        <w:t>Der angefochtene Entscheid ist im Ergebnis nicht zu beanstanden. Die Rügen der Verletzung von Art. 1 und Art. 46 EMRK sowie Art. 5 und Art. 190 BV zielen bei diesem Ergebnis ins Leere. Nachdem es im konkreten Fall auf die biologische Abstammung nicht ankommt, liegt in der Verweigerung eines Abstammungsgutachtens sodann auch keine Verletzung des Rechts auf Beweis.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