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14</w:t>
      </w:r>
    </w:p>
    <w:p>
      <w:r>
        <w:t>Bundesgericht (BGE), 2022-09-09, DE</w:t>
      </w:r>
    </w:p>
    <w:p>
      <w:r>
        <w:rPr>
          <w:b/>
        </w:rPr>
        <w:t xml:space="preserve">Quelle: </w:t>
      </w:r>
      <w:r>
        <w:t>https://mcp.opencaselaw.ch/entscheid/bge_BGE_149_I_14</w:t>
      </w:r>
    </w:p>
    <w:p>
      <w:r>
        <w:t>FR: ATF 149 I 14</w:t>
      </w:r>
    </w:p>
    <w:p>
      <w:r>
        <w:t>IT: DTF 149 I 14</w:t>
      </w:r>
    </w:p>
    <w:p>
      <w:pPr>
        <w:pStyle w:val="Heading2"/>
      </w:pPr>
      <w:r>
        <w:t>Regeste</w:t>
      </w:r>
    </w:p>
    <w:p>
      <w:r>
        <w:t>Regeste Art. 30 Abs. 1 BV; Art. 6 Ziff. 1 EMRK; Anspruch auf ein unabhängiges Gericht; Gefährdung der internen gerichtlichen Unabhängigkeit durch informelle Hierarchien. Ein aktuelles praktisches Interesse an der Behandlung der Haftbeschwerde liegt auch dann vor, wenn während des laufenden Beschwerdeverfahrens ein Haftentlassungsgesuch gestellt wird (E. 1). Der Schutzbereich der Art. 30 Abs. 1 BV und Art. 6 Ziff. 1 EMRK umfasst nicht bloss die gegen äussere Beeinflussung gerichtete richterliche Unabhängigkeit, sondern auch die interne Unabhängigkeit der Gerichtspersonen, namentlich die Autonomie der einzelnen Gerichtsmitglieder im Kollegialgericht. Letztere kann nicht nur durch formelle Hierarchien, sondern auch durch informelle Hierarchien innerhalb des Spruchkörpers gefährdet sein. Die vorliegend zu beurteilende Einsetzung einer Gerichtsschreiberin und eines Gerichtsschreibers der entscheidenden Kammer als Richterin und Richter in eben dieser Kammer ist nicht mit dem Anspruch auf ein unabhängiges Gericht zu vereinbaren (E. 5).</w:t>
      </w:r>
    </w:p>
    <w:p>
      <w:r>
        <w:t>Regeste Art. 30 al. 1 Cst.; art. 6 par. 1 CEDH; droit à un tribunal indépendant; mise en danger de l'indépendance judiciaire interne par des hiérarchies informelles. Il existe un intérêt pratique actuel au traitement d'un recours en matière de détention, même lorsqu'une demande de mise en liberté est déposée durant la procédure de recours pendante (consid. 1). Le champ de protection des art. 30 al. 1 Cst. et 6 par. 1 CEDH ne comprend pas seulement l'indépendance judiciaire par rapport à toute influence extérieure, mais aussi l'indépendance interne des membres du tribunal, notamment l'autonomie de chacun des membres du tribunal collégial. Cette dernière peut être menacée non seulement par des hiérarchies formelles, mais aussi par des hiérarchies informelles au sein du collège appelé à statuer. En l'espèce, la désignation d'une greffière et d'un greffier de la chambre qui doit statuer, en tant que juges dans cette même chambre, n'est pas compatible avec le droit à un tribunal indépendant (consid. 5).</w:t>
      </w:r>
    </w:p>
    <w:p>
      <w:r>
        <w:t>Regesto Art. 30 cpv. 1 Cost.; art. 6 n. 1 CEDU; diritto a un tribunale indipendente; messa in pericolo dell'indipendenza giudiziaria interna mediante gerarchie informali. Un interesse pratico attuale all'esame del ricorso in materia di carcerazione è dato anche quando una domanda di scarcerazione è presentata durante la procedura ricorsuale pendente (consid. 1). La sfera di protezione degli art. 30 cpv. 1 Cost. e 6 n. 1 CEDU comprende non solo l'indipendenza giudiziaria nei confronti di ogni influenza esterna, ma anche l'indipendenza interna dei membri del tribunale, segnatamente l'autonomia del singolo membro nel tribunale collegiale. Quest'ultima può essere minacciata non soltanto da gerarchie formali, ma anche da gerarchie informali in seno al collegio giudicante. Nella fattispecie, la designazione di una cancelliera e di un cancelliere della Camera decidente quali giudici in questa stessa Camera non è compatibile con il diritto a un tribunale indipendente (consid. 5).</w:t>
      </w:r>
    </w:p>
    <w:p>
      <w:pPr>
        <w:pStyle w:val="Heading2"/>
      </w:pPr>
      <w:r>
        <w:t>Erwägungen</w:t>
      </w:r>
    </w:p>
    <w:p>
      <w:r>
        <w:rPr>
          <w:b/>
        </w:rPr>
        <w:t>E. 1.1</w:t>
      </w:r>
    </w:p>
    <w:p>
      <w:r>
        <w:t>Der angefochtene kantonal letztinstanzliche Entscheid betrifft die Anordnung von Untersuchungshaft ( Art. 220 Abs. 1 StPO ). BGE 149 I 14 S. 16 Dagegen steht die Beschwerde in Strafsachen nach Art. 78 ff. BGG offen. Der Beschwerdeführer hat am vorinstanzlichen Verfahren teilgenommen und befindet sich, soweit aus den Akten ersichtlich, nach wie vor in Haft. Er ist deshalb grundsätzlich nach Art. 81 Abs. 1 BGG zur Beschwerde berechtigt.</w:t>
      </w:r>
    </w:p>
    <w:p>
      <w:r>
        <w:rPr>
          <w:b/>
        </w:rPr>
        <w:t>E. 1.2</w:t>
      </w:r>
    </w:p>
    <w:p>
      <w:r>
        <w:t>Die Staatsanwaltschaft bringt indessen in ihrer Vernehmlassung vor, der Beschwerdeführer habe zwischenzeitlich (und somit während des laufenden Beschwerdeverfahrens) bei ihr ein Haftentlassungsgesuch gestellt. Das Beschwerdeverfahren vor Bundesgericht sei deshalb als gegenstandslos abzuschreiben. Die Staatsanwaltschaft stützt sich diesbezüglich auf die Lehrmeinung von GFELLER/BIGLER/ BONIN, wonach ein Haftentlassungsgesuch auch während eines laufenden Haft-Beschwerdeverfahrens gestellt werden könne, letzteres aber gegenstandslos mache. Damit soll verhindert werden, dass in der Sache zwei sich widersprechende Entscheide ergingen (GFELLER/ BIGLER/BONIN, Untersuchungshaft, Ein Leitfaden für die Praxis, 2017, S. 309 Rz. 824). Dem kann nicht gefolgt werden. Nach ständiger Rechtsprechung führt ein während des laufenden Haft-Beschwerdeverfahrens ergangener Entscheid über die Verlängerung der Untersuchungshaft nicht dazu, dass das aktuelle praktische Interesse an der Behandlung der Haftbeschwerde dahinfallen würde ( BGE 139 I 206 E. 1.2; zuletzt Urteil 1B_78/2022 vom 2. März 2022 E. 2.4 mit Hinweisen). Es rechtfertigt sich nicht, die Situation anders zu behandeln, wenn der neue Haftentscheid nicht auf die Initiative der Staatsanwaltschaft (Gesuch um Haftverlängerung), sondern der beschuldigten Person (Gesuch um Haftentlassung) zurückzuführen ist, zumal die Problematik sich widersprechender Entscheide in beiden Situationen identisch ist. Eine Abschreibung des Beschwerdeverfahrens zufolge Gegenstandslosigkeit fällt mit Blick auf die nach wie vor andauernde Haft des Beschwerdeführers somit ausser Betracht.</w:t>
      </w:r>
    </w:p>
    <w:p>
      <w:r>
        <w:rPr>
          <w:b/>
        </w:rPr>
        <w:t>E. 1.3</w:t>
      </w:r>
    </w:p>
    <w:p>
      <w:r>
        <w:t>Die weiteren Sachurteilsvoraussetzungen geben zu keinen Bemerkungen Anlass, weshalb auf die Beschwerde einzutreten ist. (...)</w:t>
      </w:r>
    </w:p>
    <w:p>
      <w:r>
        <w:rPr>
          <w:b/>
        </w:rPr>
        <w:t>E. 5</w:t>
      </w:r>
    </w:p>
    <w:p>
      <w:r>
        <w:t>Der Beschwerdeführer rügt in formeller Hinsicht sodann eine unzulässige Besetzung der Vorinstanz und damit eine Verletzung von Art. 30 Abs. 1 BV und Art. 5 Ziff. 1 lit. c, Ziff. 3 und 4 i.V.m. Art. 6 Ziff. 1 EMRK . BGE 149 I 14 S. 17</w:t>
      </w:r>
    </w:p>
    <w:p>
      <w:r>
        <w:rPr>
          <w:b/>
        </w:rPr>
        <w:t>E. 5.1</w:t>
      </w:r>
    </w:p>
    <w:p>
      <w:r>
        <w:t>Der Beschwerdeführer beanstandet insbesondere, dass die Vorinstanz den Entscheid nicht mit der ursprünglich festgesetzten und ihm mitgeteilten Spruchkörperbesetzung gefällt, sondern namentlich "aufgrund Abwesenheit einer Richterin und eines Richters" die ursprüngliche Besetzung nachträglich geändert habe. So hätten statt der (ordentlichen) Oberrichterin Andrea Meier und dem (ordentlichen) Oberrichter David Oehninger die (nebenamtliche) Ersatzoberrichterin Charlotte Schoder sowie der (nebenamtliche) Ersatzoberrichter Titus Graf im Spruchkörper Einsitz genommen. Diese nachträgliche Abänderung des Spruchkörpers bzw. seine Besetzung überhaupt seien ohne hinreichende gesetzliche Grundlage, und ohne dass sachliche Gründe hierfür erblickt werden könnten, erfolgt. Sodann sei die streitige Abänderung der Spruchkörperbesetzung bereits deshalb unzulässig, weil Ersatzoberrichterin Charlotte Schoder und Ersatzoberrichter Titus Graf in ihren Haupttätigkeiten als Gerichtsschreiberin und Gerichtsschreiber in der III. Strafkammer des Obergerichts amteten. Sie seien damit dem Präsidenten der Kammer, Oberrichter Andreas Flury, der als drittes Mitglied am angefochtenen Entscheid mitgewirkt habe, (faktisch) direkt unterstellt und ihm gegenüber weisungsgebunden, was mit dem Anspruch auf ein unparteiisches, unvoreingenommenes und unbefangenes Gericht nicht kompatibel sei.</w:t>
      </w:r>
    </w:p>
    <w:p>
      <w:r>
        <w:rPr>
          <w:b/>
        </w:rPr>
        <w:t>E. 5.2</w:t>
      </w:r>
    </w:p>
    <w:p>
      <w:r>
        <w:t>Die Vorinstanz hat in ihrer Vernehmlassung insbesondere darauf hingewiesen, dass im Kanton Zürich Ersatzoberrichterinnen und Ersatzoberrichter auf demselben demokratischen Weg wie die ordentlichen Oberrichterinnen und Oberrichter gewählt würden und somit gleichermassen demokratisch legitimiert seien. Bei der Ersatzoberrichterin Charlotte Schoder und dem Ersatzoberrichter Titus Graf handle es sich zudem um äusserst erfahrene Juristen, die auf eine langjährige Tätigkeit in der Justiz zurückblicken könnten und sich entsprechend in ihrer Richtertätigkeit absolut frei fühlen würden und bei der Entscheidfindung unbeeinflusst und unabhängig einbringen könnten. Zu beachten sei sodann, dass den Gerichtsschreiberinnen und Gerichtsschreibern beratende Stimme und das Recht auf Mindermeinung zukommen würde und sie deshalb trotz formellem Subordinationsverhältnis unabhängig und frei im Rahmen der Rechtsprechung mitwirken würden. Schliesslich seien die Gerichtsschreiberinnen und Gerichtsschreiber der Leitenden Gerichtsschreiberin und nicht dem Präsidenten der Beschwerdekammer unterstellt.</w:t>
      </w:r>
    </w:p>
    <w:p>
      <w:r>
        <w:rPr>
          <w:b/>
        </w:rPr>
        <w:t>E. 5.3</w:t>
      </w:r>
    </w:p>
    <w:p>
      <w:r>
        <w:t>Ob die Einsetzung einer Gerichtsschreiberin oder eines Gerichtsschreibers der entscheidenden Kammer als Ersatzrichterin oder BGE 149 I 14 S. 18 Ersatzrichter (in ebendieser Kammer) eine Verletzung von Art. 30 Abs. 1 BV und Art. 6 Ziff. 1 EMRK darstellt, wurde vom Bundesgericht bisher ausdrücklich offengelassen (Urteil 6B_434/2020 vom 14. September 2021 E. 2.3). Diese Frage ist vorliegend vorab zu prüfen:</w:t>
      </w:r>
    </w:p>
    <w:p>
      <w:r>
        <w:rPr>
          <w:b/>
        </w:rPr>
        <w:t>E. 5.3.1</w:t>
      </w:r>
    </w:p>
    <w:p>
      <w:r>
        <w:t>Zunächst ist festzuhalten und zu betonen, dass weder die fachliche Kompetenz noch die persönliche Integrität der Ersatzoberrichterin Charlotte Schoder und des Ersatzoberrichters Titus Graf vom Beschwerdeführer bestritten werden oder es Gründe gäbe, diese in Frage zu stellen. Streitig ist nicht, ob die genannten Gerichtspersonen persönlich und individuell geeignet sind, ihr Amt auszuüben, sondern ob ihr Einsatz als (nebenamtliche) Ersatzrichterin und Ersatzrichter in jener Kammer, in welcher sie zugleich (hauptamtlich) als Gerichtsschreiberin und Gerichtsschreiber tätig sind, in grundsätzlicher Hinsicht mit Art. 30 Abs. 1 BV und Art. 6 Ziff. 1 EMRK zu vereinbaren ist. Die Ausführungen der Vorinstanz zur fachlichen Kompetenz der beanstandeten Mitglieder ihres Spruchkörpers zielen somit an der Sache vorbei.</w:t>
      </w:r>
    </w:p>
    <w:p>
      <w:r>
        <w:rPr>
          <w:b/>
        </w:rPr>
        <w:t>E. 5.3.2</w:t>
      </w:r>
    </w:p>
    <w:p>
      <w:r>
        <w:t>Die richterliche Unabhängigkeit ist sowohl als grundrechtlicher Anspruch ( Art. 30 Abs. 1 BV ) als auch als institutionelle Garantie der richterlichen Behörden ( Art. 191c BV ) in der Bundesverfassung verankert. Nach Art. 30 Abs. 1 BV und Art. 6 Ziff. 1 EMRK hat jede Person, deren Sache in einem gerichtlichen Verfahren beurteilt werden muss, Anspruch auf ein durch Gesetz geschaffenes, zuständiges, unabhängiges und unparteiisches Gericht.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147 III 89 E. 4.1; BGE 144 I 159 E. 4.3; BGE 142 III 732 E. 4.2.2; BGE 140 III 221 E. 4.1). Dabei kann die Garantie des unabhängigen und unbefangenen Gerichts insbesondere durch organisatorische Gegebenheiten tangiert sein ( BGE 147 III 577 E. 6; BGE 147 I 173 E. 5.1). Ob dies der Fall ist, prüft das Bundesgericht frei ( BGE 147 I 173 E. 5.1). Richterliche Unabhängigkeit bedeutet zunächst einmal die Unabhängigkeit vor externer Einflussnahme, namentlich durch die anderen Staatsgewalten oder die Parteien (vgl. BGE 123 II 511 E. 5c). Eine Verletzung von Art. 30 Abs. 1 BV und Art. 6 Ziff. 1 EMRK BGE 149 I 14 S. 19 liegt dabei nicht erst dann vor, wenn die richterliche Unabhängigkeit im konkreten Fall tatsächlich beeinträchtigt ist, sondern bereits dann, wenn ein entsprechender Anschein besteht ( BGE 147 I 173 E. 5.1; BGE 147 III 89 E. 4.1; BGE 139 III 98 E. 4.2; BGE 137 I 227 E. 2.1; siehe auch Urteil 2C_334/2015 vom 19. Mai 2015 E. 3 und 4). Es gilt nicht bloss tatsächliche Loyalitätskonflikte zu verhindern, sondern auch das notwendige Vertrauen der Rechtssuchenden in die richterliche Unabhängigkeit der Gerichte zu erhalten ( BGE 124 I 255 E. 5d; BGE 119 Ia 91 E. 3; siehe dazu auch KURT EICHENBERGER, Die richterliche Unabhängigkeit als staatsrechtliches Problem, 1960, S. 89 f.; REGINA KIENER, Richterliche Unabhängigkeit, 2001, S. 233), weshalb auch das äussere Erscheinungsbild eines Gerichts den Eindruck der Unabhängigkeit zu vermitteln hat (vgl. BGE 139 III 98 E. 4.2 und 4.4). Diese Grundsätze schlagen sich auch in der Rechtsprechung des Europäischen Gerichtshofs für Menschenrechte (EGMR) nieder. Dieser hat wiederholt eine Verletzung der richterlichen Unabhängigkeit festgestellt, obwohl die jeweiligen Gerichtspersonen in ihrer rechtsprechenden Funktion nicht (direkt) weisungsgebunden waren oder ihnen eine solche Weisungsfreiheit sogar gesetzlich zugesichert wurde, und ohne dass Anzeichen für eine konkrete externe Einflussnahme vorgelegen hätten. Ausschlaggebend war, dass die betroffenen Gerichtspersonen in jeweils anderer Funktion gegenüber der (am Verfahren beteiligten) Verwaltung (Urteil des EGMR Sramek gegen Österreich vom 22. Oktober 1984, Nr. 8790/79, § 41 f.) oder gegenüber den Strafbehörden (Urteil des EGMR Belilos gegen Schweiz vom 29. April 1988, Nr. 10328/83, § 63 ff.) in einem Weisungsverhältnis standen, womit zumindest der Anschein bestand, dass es an der erforderlichen Unabhängigkeit gemäss Art. 6 Ziff. 1 EMRK mangle.</w:t>
      </w:r>
    </w:p>
    <w:p>
      <w:r>
        <w:rPr>
          <w:b/>
        </w:rPr>
        <w:t>E. 5.3.3</w:t>
      </w:r>
    </w:p>
    <w:p>
      <w:r>
        <w:t>Vorliegend ist nicht die Unabhängigkeit des Gerichts gegenüber aussen, sondern jene einzelner Gerichtsmitglieder innerhalb des zuständigen Spruchkörpers eines Kollegialgerichts streitig. Die vorgenannten Grundsätze und Präjudizien können jedoch analog auf diese Situation übertragen werden. In der Literatur wird einhellig darauf hingewiesen, dass neben der gegen äussere Beeinflussung gerichteten Unabhängigkeit auch der internen Unabhängigkeit der Gerichtsperson (sog. richterliche Eigenständigkeit; vgl. EICHENBERGER, a.a.O., S. 48), wozu namentlich die Autonomie im Kollegialgericht gehört BGE 149 I 14 S. 20 (vgl. dazu BGE 139 I 121 E. 5.3; BGE 133 I 1 E. 6.6.3; BGE 131 I 31 E. 2.1.2.2, wonach die Mitglieder eines Kollegialgerichts in ihrer Stellung voneinander unabhängig sind), eine massgebliche Bedeutung zukommt (REITER/STADELMANN, Informelle Hierarchien in der Justiz, Justice - Justiz - Giustizia 2021/3, Rz. 2; CATHERINE REITER, Gerichtsinterne Organisation: Best Practices, 2015, S. 66 Rz. 128 ff.; ETIENNE POLTIER, L'organisation et le fonctionnement interne de l'ordre judiciaire et des tribunaux, AJP 2011 S. 1024; HAUSER/SCHWERI/LIEBER, GOG, Kommentar zum zürcherischen Gesetz über die Gerichts- und Behördenorganisation im Zivil- und Strafprozess vom 10. Mai 2010, 2. Aufl. 2017, N. 20 der Einleitung; HANS PETER WALTER, Interne richterliche Unabhängigkeit, Justice - Justiz - Giustizia 2005/1, Rz. 2). Denn mögliche Beeinflussungen des Gerichts würden nicht nur von aussen, sondern auch von innen, insbesondere bei der Entscheidfindung innerhalb eines Kollegiums, drohen (MARIANNE RYTER, Gerichtsverwaltung und richterliche Unabhängigkeit: Überlegungen am Beispiel des Bundesverwaltungsgerichts, in: Verwaltungsorganisationsrecht - Staatshaftungsrecht - öffentliches Dienstrecht, Jahrbuch 2007, 2008, S. 59 ff.; siehe auch REITER, a.a.O., S. 132 Rz. 254 f.; ANNA RÜEFLI, Fachrichterbeteiligung im Lichte der Justiz- und Verfahrensgarantien, 2018, S. 325 Rz. 576 ff.; WALTER, a.a.O., Rz. 20 und 33; KIENER, a.a.O., S. 219 ff.; EICHENBERGER, a.a.O., S. 240). Kerngehalt der richterlichen Unabhängigkeit ist die Weisungsfreiheit der Gerichtsmitglieder, was mit Blick auf die interne Unabhängigkeit bedeutet, dass formelle Hierarchien innerhalb eines Gerichts unzulässig sind (REITER/ STADELMANN, a.a.O., Rz. 11). Eine "freie und damit gerechte Entscheidung" bedingt deshalb nach RYTER, dass sich die Richterinnen und Richter eines Spruchkörpers "stets als Gleichgestellte" begegnen können. Demgegenüber würden allfällige Abhängigkeiten unweigerlich das Gleichgewicht der urteilenden Kräfte zu stören drohen und damit die freie Meinungsäusserung behindern. Eine Störung dieses Gleichgewichts sei namentlich dann möglich, wenn Mitglieder des Spruchkörpers zugleich gerichtliche Leitungsfunktionen inne hätten. Es sei deshalb zentral, dass Richterinnen und Richter mit Leitungsfunktionen mit den weiteren Gerichtsmitgliedern auf Augenhöhe bleiben würden, mithin alle Gerichtsmitglieder absolut gleichberechtigt und gleichgestellt seien (RYTER, a.a.O., S. 61 f. und 72; vgl. zum Ganzen: WALTER, a.a.O., Rz. 16; KIENER, a.a.O., S. 219 ff.). Problematisch sind indessen nicht nur formelle Hierarchien innerhalb eines Gerichts. Auch Einflüsse, welche sich aus sogenannt informellen BGE 149 I 14 S. 21 Hierarchien ergeben können, sind geeignet, die interne richterliche Unabhängigkeit zu gefährden. Namentlich REITER/STADELMANN warnen deshalb eindringlich davor, das von "informellen Hierarchien ausgehende Gefahrenpotential für die richterliche Unabhängigkeit" zu unterschätzen. Diese könnten "zu Konformismus und damit Gruppendruck auf (potentielle) Abweichler, im schlimmsten Fall gar zu Isolation führen" (REITER/STADELMANN, a.a.O., Rz. 14 ff.). Diese würden sich teilweise aus persönlichen Unterschieden zwischen den Richterinnen und Richtern ergeben, was unvermeidbar sei (vgl. dazu auch WALTER, a.a.O., Rz. 20). Soweit derartige informelle Hierarchien jedoch durch (vermeidbare) organisatorische Faktoren der Gerichtsorganisation gefördert würden (namentlich die Übertragung besonderer Aufgaben und Kompetenzen; vgl. dazu RYTER, a.a.O., S. 61 f.), sei mit entsprechenden organisationsrechtlichen Massnahmen Abhilfe zu schaffen (REITER/STADELMANN, a.a.O., Rz. 15 f.; vgl. zum Ganzen: REITER, a.a.O., S. 82 Rz. 162 ff.).</w:t>
      </w:r>
    </w:p>
    <w:p>
      <w:r>
        <w:rPr>
          <w:b/>
        </w:rPr>
        <w:t>E. 5.3.4</w:t>
      </w:r>
    </w:p>
    <w:p>
      <w:r>
        <w:t>Im Zusammenhang mit der vorliegend streitigen Praxis des Obergerichts Zürich weisen HAUSER/SCHWERI/LIEBER darauf hin, dass es zumindest "als nicht ganz unbedenklich" erscheine, wenn eine Gerichtsschreiberin als Ersatzrichterin oder ein Gerichtsschreiber als Ersatzrichter gegenüber seinen eigenen Vorgesetzten bzw. seiner Anstellungsbehörde, also in einer strukturellen Hierarchie, unabhängig und unbefangen entscheiden müsse (HAUSER/SCHWERI/LIEBER, a.a.O., N. 5 zu § 11 GOG/ZH). Andere Lehrmeinungen sind, wenn auch nicht unmittelbar auf die vorliegend streitige Praxis des Kantons Zürich bezogen, pointierter. Nach REITER biete der Einsatz von Gerichtsschreiberinnen als Richterinnen bzw. Gerichtsschreibern als Richter zwar im Hinblick auf die zeitliche Effizienz signifikante Vorteile. Dies vermöge jedoch die Gefahren nicht aufzuwiegen, welche sich aufgrund der informellen Hierarchien im kollegialen Spruchkörper ergeben würden. Aus verfassungs- und völkerrechtlicher Perspektive liege es daher nahe, eine solche Doppelfunktion von Gerichtsschreiber- und kollegial rechtsprechender Richtertätigkeit zu verbieten (REITER, a.a.O., S. 170 Rz. 331 ff.; für eine solche Lösung siehe bspw. Art. 43 Abs. 1 Gerichtsorganisationsgesetz des Kantons Graubünden vom 16. Juni 2010 [BR 173.000]). Nach REITER/STADELMANN ist die "Gefahr informeller Hierarchien" schliesslich zumindest dann "nicht mehr als gering" einzuschätzen, wenn ein Gerichtsmitglied auf die Karriere eines anderen Mitglieds Einfluss nehmen könne (REITER/STADELMANN, a.a.O., RZ. 16 Fn. 32); BGE 149 I 14 S. 22 was im Verhältnis zwischen Richterinnen bzw. Richtern und den ihnen gegenüber weisungsgebundenen Gerichtsschreiberinnen bzw. Gerichtsschreibern regelmässig der Fall sein dürfte (vgl. REITER, a.a.O., S. 293 Rz. 567). Auch das Bundesgericht hatte sich bereits mit einer ähnlichen Fragestellung auseinanderzusetzen, nämlich ob im Lichte von Art. 30 Abs. 1 BV ein an einem Gericht weisungsabhängig arbeitender Gerichtsschreiber am gleichen Gericht als Einzelrichter tätig sein könne (Urteil 2C_334/2015 vom 19. Mai 2015 E. 3.2). Im Hinblick auf den genannten (speziell gelagerten) Einzelfall hatte das Bundesgericht festgehalten, der in Frage stehende Gerichtsschreiber könne bei seiner Einzelrichtertätigkeit nicht als unabhängiger Einzelrichter bezeichnet werden, wenn er im Rahmen seiner übrigen Tätigkeit als Gerichtsschreiber der Weisungsbefugnis der Statthalterin (die ein konnexes Verfahren behandelt hatte) unterstellt sei (zit. Urteil 2C_ 334/2015 E. 4.). Die im zit. Urteil 2C_334/2015 behandelte Problematik wird im hier zu entscheidenden Fall dadurch akzentuiert, dass nicht eine Einzelrichtertätigkeit einer weisungsabhängig arbeitenden Gerichtsschreiberin bzw. Gerichtsschreibers, sondern deren Einsitz in einem Kollegialgericht streitig ist (vgl. E. 5.3.3 hiervor).</w:t>
      </w:r>
    </w:p>
    <w:p>
      <w:r>
        <w:rPr>
          <w:b/>
        </w:rPr>
        <w:t>E. 5.3.5</w:t>
      </w:r>
    </w:p>
    <w:p>
      <w:r>
        <w:t>Der Vorinstanz ist insofern zuzustimmen, dass die eingesetzte Ersatzoberrichterin und der eingesetzte Ersatzoberrichter den ordentlichen Mitgliedern des Obergerichts rechtlich gleichgestellt und somit formell, in Ausübung ihrer Richterfunktion, nicht weisungsgebunden sind. Indessen gesteht die Vorinstanz selbst zu, dass die Ersatzoberrichterin und der Ersatzoberrichter sich in ihrer parallel ausgeübten (hauptamtlichen) Tätigkeit als Gerichtsschreiberin und Gerichtsschreiber dem Oberrichter Andreas Flury gegenüber in einem formellen Subordinationsverhältnis befinden, woran auch der Umstand nichts zu ändern vermag, dass die Gerichtsschreiberinnen und Gerichtsschreiber innerhalb der Gerichtsorganisation (direkt) der Leitenden Gerichtsschreiberin unterstellt sein sollen. Verstärkt wird diese Problematik sodann durch den Umstand, dass gemäss § 30 der Verordnung vom 3. November 2010 über die Organisation des Obergerichts (LS 212.51) der Vorsitzende der Kammer, der ebenfalls Mitglied des Spruchkörpers der Vorinstanz ist, die Besetzung des Gerichts bestimmt, und es somit in seinem pflichtgemässen Ermessen liegt, wann und in welcher Funktion er die zugleich in Gerichtsschreiber- und Richterfunktion tätigen Mitglieder seiner Kammer einsetzt. Ob die Mitglieder des vorinstanzlichen BGE 149 I 14 S. 23 Spruchkörpers unter diesen Voraussetzungen als "absolut gleichberechtigt und gleichgestellt" (vgl. E. 5.3.3) betrachtet werden können, erscheint zumindest fraglich. Mit Blick auf die hiervor dargestellte Rechtsprechung und unter Würdigung der einschlägigen Lehre ist festzuhalten, dass die zeitgleich ausserhalb des Spruchkörpers bestehende (unbestrittene) formelle Hierarchie zwischen den Mitgliedern des vorinstanzlichen Spruchkörpers zumindest den Anschein einer informellen Hierarchie innerhalb des Spruchkörpers schafft, die geeignet ist, die interne richterliche Unabhängigkeit der als Ersatzrichterin bzw. Ersatzrichter eingesetzen Personen zu beeinträchtigen. Dies ist umso gewichtiger, als sich dieser Anschein der fehlenden Unabhängigkeit des Spruchkörpers aus den gewählten organisatorischen Gegebenheiten ergibt (vgl. BGE 147 III 577 E. 6) und demnach auch durch geeignete organisationsrechtliche Massnahmen verhindert werden kann und muss (vgl. REITER/STADELMANN, a.a.O., Rz. 15 f.). Welche konkreten Massnahmen dies sind, ist eine Frage der grundsätzlich den Kantonen obliegenden Gerichtsorganisation (vgl. Art. 14 Abs. 2 StPO ).</w:t>
      </w:r>
    </w:p>
    <w:p>
      <w:r>
        <w:rPr>
          <w:b/>
        </w:rPr>
        <w:t>E. 5.4</w:t>
      </w:r>
    </w:p>
    <w:p>
      <w:r>
        <w:t>Zusammenfassend verletzt die Einsetzung einer Gerichtsschreiberin und eines Gerichtsschreibers der entscheidenden Kammer als Ersatzrichterin und Ersatzrichter (in ebendieser Kammer) den Anspruch des Beschwerdeführers auf ein unabhängiges Gericht gemäss Art. 30 Abs. 1 BV und Art. 6 Ziff. 1 EMRK . Dieser Anspruch ist formeller Natur, womit seine Verletzung ungeachtet der materiellen Begründetheit des Rechtsmittels zur Gutheissung der Beschwerde und zur Aufhebung des angefochtenen Entscheides führt ( BGE 142 I 93 E. 8.3 mit Hinweisen). Ein Urteil in der Sache durch das Bundesgericht ist, trotz der besonderen Bedeutung des Beschleunigungsgebots in Haftsachen ( Art. 31 Abs. 4 BV ; Art. 5 Abs. 2 StPO ; Art. 5 Ziff. 4 EMRK ; vgl. BGE 137 IV 177 E. 2.2), bereits aufgrund der eingeschränkten Kognition des Bundesgerichts vorliegend ausgeschlossen (vgl. nicht publ. E. 2). Entgegen der Ansicht des Beschwerdeführers liegt keine Nichtigkeit des angefochtenen Entscheids vor. Der Einsatz der genannten Ersatzoberrichterin bzw. Ersatzoberrichters im vorinstanzlichen Spruchkörper ist zwar mit Art. 30 Abs. 1 BV und Art. 6 Ziff. 1 EMRK unvereinbar; es handelt sich bei ihnen indessen nichtsdestotrotz um gewählte und damit demokratisch legitimierte Gerichtspersonen.</w:t>
      </w:r>
    </w:p>
    <w:p>
      <w:r>
        <w:rPr>
          <w:b/>
        </w:rPr>
        <w:t>E. 5.5</w:t>
      </w:r>
    </w:p>
    <w:p>
      <w:r>
        <w:t>Auf die weiteren Rügen des Beschwerdeführers braucht infolge Gutheissung der Beschwerde nicht eingegangen zu werden. Da der BGE 149 I 14 S. 24 besondere Haftgrund der Kollusionsgefahr nicht offensichtlich nicht gegeben ist, steht eine sofortige Haftfreilassung hingegen ausser Frage und ist die Beschwerde insoweit abzuweisen (vgl. nicht publ. E. 4.1). Insbesondere die Frage nach dem Vorliegen von Kollusionsgefahr wird von der Vorinstanz in angepasster, verfassungs- und konventionskonformer Besetzung erneut zu prüfen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